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6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6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6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6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崇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府办字</w:t>
      </w:r>
      <w:r>
        <w:rPr>
          <w:rFonts w:hint="eastAsia" w:ascii="仿宋_GB2312" w:hAnsi="Calibri" w:eastAsia="仿宋_GB2312" w:cs="Times New Roman"/>
          <w:sz w:val="32"/>
          <w:szCs w:val="32"/>
        </w:rPr>
        <w:t>〔2022〕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</w:rPr>
        <w:t>号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印发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《崇义县城区城市道路开挖管理办法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（讨论稿）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通知</w:t>
      </w:r>
    </w:p>
    <w:p>
      <w:pPr>
        <w:rPr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直、驻县各单位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经县政府同意，现将</w:t>
      </w:r>
      <w:r>
        <w:rPr>
          <w:rFonts w:hint="eastAsia" w:ascii="仿宋_GB2312" w:hAnsi="仿宋_GB2312" w:eastAsia="仿宋_GB2312" w:cs="仿宋_GB2312"/>
          <w:sz w:val="32"/>
          <w:szCs w:val="32"/>
        </w:rPr>
        <w:t>《崇义县城区城市道路开挖管理办法》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印发给你们，请结合实际，认真抓好贯彻落实。</w:t>
      </w:r>
    </w:p>
    <w:p/>
    <w:p>
      <w:pPr>
        <w:spacing w:line="560" w:lineRule="exact"/>
        <w:ind w:firstLine="1474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1474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1474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1474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ind w:firstLine="1474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1474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1474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1474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color="auto" w:fill="auto"/>
          <w:lang w:eastAsia="zh-CN"/>
        </w:rPr>
        <w:t>崇义县城区</w:t>
      </w: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color="auto" w:fill="auto"/>
        </w:rPr>
        <w:t>城市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color="auto" w:fill="auto"/>
          <w:lang w:eastAsia="zh-CN"/>
        </w:rPr>
        <w:t>道路开挖</w:t>
      </w: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color="auto" w:fill="auto"/>
        </w:rPr>
        <w:t>管理办法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85" w:lineRule="atLeast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color="auto" w:fill="auto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第一章 总则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第一条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 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u w:val="none"/>
          <w:shd w:val="clear" w:color="auto" w:fill="auto"/>
        </w:rPr>
        <w:t> </w:t>
      </w:r>
      <w:r>
        <w:rPr>
          <w:rFonts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为进一步规范城市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道路开挖</w:t>
      </w:r>
      <w:r>
        <w:rPr>
          <w:rFonts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行为，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发挥城市道路功能，提高城市管理水平，根据国务院《城市道路管理条例》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（国务院令第198号）、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《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赣州市城市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管理条例》等有关法规规定，结合本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县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实际，制定本办法。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1"/>
          <w:szCs w:val="31"/>
          <w:u w:val="none"/>
          <w:shd w:val="clear" w:color="auto" w:fill="auto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第二条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1"/>
          <w:szCs w:val="31"/>
          <w:u w:val="none"/>
          <w:shd w:val="clear" w:color="auto" w:fill="auto"/>
          <w:lang w:val="en-US" w:eastAsia="zh-CN" w:bidi="ar"/>
        </w:rPr>
        <w:t> 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在本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县城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区范围内，因敷设、维修地下管线或者进行其他建设工程，需要挖掘机动车道、非机动车道、人行道、公共广场、过街地下通道、内街以及桥梁、隧道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、公共绿地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等城市道路的，适用本办法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第三条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u w:val="none"/>
          <w:shd w:val="clear" w:color="auto" w:fill="auto"/>
        </w:rPr>
        <w:t>  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u w:val="none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val="en-US" w:eastAsia="zh-CN"/>
        </w:rPr>
        <w:t>由县城市管理主管部门负责受理开挖审批前的备案管理。凡未经备案和审批的，任何单位或者个人不得开挖城市道路。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经批准挖掘城市道路的，应当尽量减少对行人和交通的影响。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u w:val="none"/>
          <w:shd w:val="clear" w:color="auto" w:fill="auto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85" w:lineRule="atLeast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 xml:space="preserve">第二章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开挖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计划申报与许可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第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四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条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 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val="en-US" w:eastAsia="zh-CN"/>
        </w:rPr>
        <w:t>城市道路开挖实行申报审批管理制度。城市管理部门应当统筹协调城市道路新建、改建、扩建及养护维修计划与道路开挖计划同步进行。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val="en-US" w:eastAsia="zh-CN"/>
        </w:rPr>
        <w:t>开挖城市道路用于敷设地下管线及管网的，城市管理部门应当会同规划设计部门进行地下管线敷设的审批、登记及后期动态统一管理。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第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五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条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 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鼓励采取非开挖技术施工（顶管作业），倡导科学合理的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同管沟敷设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第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六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条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 因地下管线发生故障需紧急抢修的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，开挖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单位可先行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开挖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抢修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同时向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城市管理主管部门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报告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auto"/>
        </w:rPr>
        <w:t>并在24小时内到行政审批部门补办手续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进行地下管线紧急抢修的，施工现场须设置明显标志和安全防护设施，完工后及时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按原状（原材料）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修复路面，保障行人和交通车辆安全。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第七条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经批准并依法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缴纳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城市道路临时占用费、挖掘修复费，方可挖掘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第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八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条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 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val="en-US" w:eastAsia="zh-CN"/>
        </w:rPr>
        <w:t>申请开挖城市道路的单位或者个人，必须提交下列材料：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val="en-US" w:eastAsia="zh-CN"/>
        </w:rPr>
        <w:t>（一）开挖备案表；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val="en-US" w:eastAsia="zh-CN"/>
        </w:rPr>
        <w:t>（二）申请单位营业执照、个人身份证等主体证明材料；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val="en-US" w:eastAsia="zh-CN"/>
        </w:rPr>
        <w:t>（三）施工组织方案；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新建、扩建、改建的城市道路交付使用后5年内、大修的城市道路竣工后3年内进行挖掘的，提供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人民政府批准文件（出示原件）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val="en-US" w:eastAsia="zh-CN"/>
        </w:rPr>
        <w:t>（五）涉及城市规划调整的，提供自然资源部门的批准文件；需要限制车辆行驶的，提供公安交管部门的批准文件；以及其他有关职能部门依法批准的有效文件；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val="en-US" w:eastAsia="zh-CN"/>
        </w:rPr>
        <w:t>（六）文明施工管理承诺书；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val="en-US" w:eastAsia="zh-CN"/>
        </w:rPr>
        <w:t>（七）开挖场地位置（平面示意图或照片标识开挖方位）。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第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九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条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 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除特殊情况外，有下列情形之一的，不得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开挖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城市道路：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除县人民政府批准外，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新建、改建、扩建的城市道路交付使用后未满5年、大修的城市道路竣工后未满3年的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申请在“五一”国际劳动节、国庆节、春节、重大检查等重大公共活动期间挖掘的；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）未提供有效文件或者提供资料不全的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申请人曾违反城市道路挖掘管理有关规定，经查处仍未整改完毕或者未履行处罚决定的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）法律、法规和规章规定其他不得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开挖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城市道路的情形。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85" w:lineRule="atLeast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第三章 城市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道路开挖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管理与修复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第十条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  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城市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道路开挖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单位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或者个人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须执行施工技术规程和质量标准，保证工程质量。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第十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一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条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经许可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开挖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城市道路的，应当遵守下列规定：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道路开挖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或者个人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应按照许可的位置、面积、期限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开挖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城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市道路；因气候、地质条件等特殊原因需移动位置、延长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开挖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期限、扩大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开挖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面积的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，申请人应当提前办理变更许可手续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eastAsia="zh-CN"/>
        </w:rPr>
        <w:t>，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并做好变更情况说明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道路开挖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或者个人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应当通过新闻媒体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公示牌等形式公示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开挖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时限、施工面积、施工单位联系方式等相关信息，并加大宣传力度，争取社会和群众理解与支持。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道路开挖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或者个人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施工现场必须设置标准围挡、交通导向标志、施工告示及路障警示灯；采取安全防护措施，保护临近地下管线设施安全。横断城市主、次干道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开挖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且不具备顶管施工条件的，必须在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车流量少的时间段施工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需夜间施工的，必须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设置夜间警示灯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，并不得扰民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。夜间不能完成施工的，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必须做好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管槽须回填，并采用符合安全要求的防滑钢板覆盖、增加减速条固定等措施，恢复道路交通。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（四）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道路开挖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或者个人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必须制定施工防尘降噪工作方案，施工现场安排专门清扫人员，配备洒水、冲洗等符合环保要求的管理措施。施工过程中洒水降尘，渣土随挖随清，出入工地车辆进行轮胎冲洗和覆盖运输。现场施工材料、裸露土层及基础养护使用毛毡、防尘网等覆盖。施工结束后，施工现场不得遗留渣土废料，保障文明施工，减少和降低工程施工对群众生产生活和城市环境秩序的影响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（五）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基坑、沟槽等开挖后必须全部回填沙并灌水冲实，不得回填土方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（六）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埋在地下的材料必须采用符合要求的国标材料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（七）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开挖余土污染路面，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施工单位或者个人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应根据城市管理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主管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部门的要求及时清理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（八）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施工过程中做到现场整洁，施工完成后第一时间清场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eastAsia="zh-CN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第十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二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条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 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道路开挖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或者个人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负责沥青层敷设（车行道）、面层铺装（人行道）所有工程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复原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工作。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道路开挖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沟槽回填应当使用中粗沙并充足水沉，密实度要达到规范要求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eastAsia="zh-CN"/>
        </w:rPr>
        <w:t>道路复原全部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完成后，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eastAsia="zh-CN"/>
        </w:rPr>
        <w:t>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立即向城市道路养护管理单位申请验收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eastAsia="zh-CN"/>
        </w:rPr>
        <w:t>，验收由城市管理部门牵头组织，申请单位或者个人和挖掘施工单位共同参与，修复验收按 《市政道路工程质量检验评定标准》（CJJ 1-1990）等相应技术规范执行。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第十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三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条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道路开挖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或者个人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负责验收前的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开挖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现场安全和工地管理，建立健全安全管理制度，完善安全措施，设立专职安全员，确保施工现场的安全。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第十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四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条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交通繁忙的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道路开挖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工程应当实施分段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开挖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施工、分段恢复道路、分段质量验收。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第十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五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条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城市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道路开挖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或者个人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，应当按照省建设厅赣建城</w:t>
      </w:r>
      <w:r>
        <w:rPr>
          <w:rFonts w:hint="eastAsia" w:ascii="仿宋_GB2312" w:hAnsi="Calibri" w:eastAsia="仿宋_GB2312" w:cs="Times New Roman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2001</w:t>
      </w:r>
      <w:r>
        <w:rPr>
          <w:rFonts w:hint="eastAsia" w:ascii="仿宋_GB2312" w:hAnsi="Calibri" w:eastAsia="仿宋_GB2312" w:cs="Times New Roman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28号、赣建城</w:t>
      </w:r>
      <w:r>
        <w:rPr>
          <w:rFonts w:hint="eastAsia" w:ascii="仿宋_GB2312" w:hAnsi="Calibri" w:eastAsia="仿宋_GB2312" w:cs="Times New Roman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2006</w:t>
      </w:r>
      <w:r>
        <w:rPr>
          <w:rFonts w:hint="eastAsia" w:ascii="仿宋_GB2312" w:hAnsi="Calibri" w:eastAsia="仿宋_GB2312" w:cs="Times New Roman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41号、崇城管字</w:t>
      </w:r>
      <w:r>
        <w:rPr>
          <w:rFonts w:hint="eastAsia" w:ascii="仿宋_GB2312" w:hAnsi="Calibri" w:eastAsia="仿宋_GB2312" w:cs="Times New Roman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2003</w:t>
      </w:r>
      <w:r>
        <w:rPr>
          <w:rFonts w:hint="eastAsia" w:ascii="仿宋_GB2312" w:hAnsi="Calibri" w:eastAsia="仿宋_GB2312" w:cs="Times New Roman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8号规定标准缴纳城市道路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挖掘修复费用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第十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六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条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 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u w:val="none"/>
          <w:shd w:val="clear" w:color="auto" w:fill="auto"/>
        </w:rPr>
        <w:t>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城市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道路开挖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修复单位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或者个人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必须具备相应的施工资质，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auto"/>
        </w:rPr>
        <w:t>严格执行城市道路养护、维修的技术规范，道路修复强度不应低于原设计结构：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auto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auto"/>
          <w:lang w:eastAsia="zh-CN"/>
        </w:rPr>
        <w:t>开挖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auto"/>
        </w:rPr>
        <w:t>修复宽度：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auto"/>
          <w:lang w:eastAsia="zh-CN"/>
        </w:rPr>
        <w:t>开挖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auto"/>
        </w:rPr>
        <w:t>的基层修复应在开挖断面两侧各加宽50cm；面层修复宽度每侧宽度应大于基层20cm以上。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auto"/>
        </w:rPr>
        <w:t>（二）沥青路面：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auto"/>
          <w:lang w:eastAsia="zh-CN"/>
        </w:rPr>
        <w:t>开挖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auto"/>
        </w:rPr>
        <w:t>宽度不足一个行车道的，除按标准修复管槽外，应对整条车行道进行罩面，超过一个行车道不足两个行车道的，按两个行车道面积罩面恢复。当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顺向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开挖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宽度达到原路面1/3时，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开挖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修复按道路宽度半幅施工；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开挖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宽度达到原路面1/2以上时，应进行专项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开挖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修复设计，面层应为全幅修复。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（三）水泥混凝土路面：当水泥混凝土路面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开挖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宽度超过1/3板宽时，应按整板修复；当不足1/3板宽时应进行加固处理。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auto"/>
        </w:rPr>
        <w:t>（四）人行道：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砌块类面层的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开挖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修复，应将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开挖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施工期间被扰动的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、破损的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砌块全部拆除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重新铺砌。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auto"/>
          <w:lang w:eastAsia="zh-CN"/>
        </w:rPr>
        <w:t>（五）绿化带：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绿化带的开挖修复，必须按原状修复到位，种植的苗木及草皮必须保证成活（养护期一年），同时小苗木必须按原密实度恢复到位。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第十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七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条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 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城市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道路开挖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修复应当按照下列时限完成路面修复：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auto"/>
          <w:lang w:eastAsia="zh-CN"/>
        </w:rPr>
        <w:t>（一）主、次干道：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横向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开挖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的，应当在沟槽回填后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日内修复；纵向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开挖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，面积在1000平方米以下的，应当在沟槽回填后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日内修复；面积在1000平方米以上的，应当在沟槽回填后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日内修复。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auto"/>
          <w:lang w:eastAsia="zh-CN"/>
        </w:rPr>
        <w:t>（二）支路、街巷道路：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应当在沟槽回填后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日内修复。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第十八条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城市道路挖掘修复实行质保制度，设定质保期，质保期不得低于三个月，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自修复验收完成之日起计算，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质保期内按《建设工程质量管理条例》的有关规定执行。质保期内出现质量问题或者由于工程质量问题给他人造成损害的，由有关责任单位负责保修或者赔偿。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85" w:lineRule="atLeast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第四章 监督管理与法律责任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第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十九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条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 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auto"/>
          <w:lang w:eastAsia="zh-CN"/>
        </w:rPr>
        <w:t>城市管理部门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应当对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开挖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、修复工程实行监督管理。在开工准备、沟槽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开挖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、回填验收及路面修复过程中，实行定期巡查，规范管理。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第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二十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条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经批准挖掘城市道路的单位或者个人，因施工损坏道路附属设施、地下管线设施的，应当承担赔偿责任。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第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二十一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条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 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有下列行为之一的，由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val="en-US" w:eastAsia="zh-CN"/>
        </w:rPr>
        <w:t>城市管理综合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行政执法部门按照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赣州市城市管理条例》等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相关法律、法规和规章予以行政处罚，并按规定将其失信信息向社会公开；造成损失的，应当依法承担赔偿责任：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（一）擅自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开挖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、占用城市道路的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开挖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机械作业时，造成路面出现划痕、碎裂等损害城市道路的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（三）紧急抢修埋设在城市道路下的管线，不按照规定补办手续的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（四）施工现场未按照规定设置封闭围挡设施、公示牌、安全警示标志、采取防护措施的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（五）未按照批准的位置、面积、期限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开挖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道路，或者未提前办理变更手续的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（六）未按规范要求施工、回填和及时清理现场的，未采取防尘降噪措施的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（七）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未按照标准要求恢复原状原质的。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第二十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二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条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  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国家机关工作人员在城市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道路开挖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修复管理工作中，滥用职权、玩忽职守、徇私舞弊的，由有关部门依法给予行政处分；构成犯罪的，依法追究刑事责任。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85" w:lineRule="atLeast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第五章 附则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第二十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三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条 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城市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道路开挖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、修复施工涉及的技术和质量管理标准，本办法未做规定的，按照国家规定的城市道路养护维修和质量管理的规范标准执行。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5" w:afterAutospacing="0" w:line="560" w:lineRule="exact"/>
        <w:ind w:left="0" w:right="0" w:firstLine="645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第二十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四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条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 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u w:val="none"/>
          <w:shd w:val="clear" w:color="auto" w:fill="auto"/>
        </w:rPr>
        <w:t> 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auto"/>
        </w:rPr>
        <w:t>本办法自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auto"/>
          <w:lang w:eastAsia="zh-CN"/>
        </w:rPr>
        <w:t>发布之日起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auto"/>
        </w:rPr>
        <w:t>施行。</w:t>
      </w:r>
    </w:p>
    <w:p>
      <w:pPr>
        <w:spacing w:line="560" w:lineRule="exact"/>
        <w:rPr>
          <w:rFonts w:hint="eastAsia" w:ascii="仿宋_GB2312" w:hAnsi="仿宋" w:eastAsia="仿宋_GB2312" w:cs="仿宋_GB2312"/>
          <w:sz w:val="32"/>
          <w:szCs w:val="32"/>
          <w:u w:val="single"/>
        </w:rPr>
      </w:pPr>
    </w:p>
    <w:p>
      <w:pPr>
        <w:spacing w:line="560" w:lineRule="exact"/>
        <w:rPr>
          <w:rFonts w:hint="eastAsia" w:ascii="仿宋_GB2312" w:hAnsi="仿宋" w:eastAsia="仿宋_GB2312" w:cs="仿宋_GB2312"/>
          <w:sz w:val="32"/>
          <w:szCs w:val="32"/>
          <w:u w:val="single"/>
        </w:rPr>
      </w:pPr>
    </w:p>
    <w:p>
      <w:pPr>
        <w:pStyle w:val="2"/>
        <w:rPr>
          <w:rFonts w:hint="eastAsia"/>
        </w:rPr>
      </w:pPr>
    </w:p>
    <w:p>
      <w:pPr>
        <w:ind w:left="840" w:hanging="840" w:hangingChars="300"/>
      </w:pPr>
      <w:r>
        <w:rPr>
          <w:rFonts w:hint="eastAsia" w:ascii="仿宋_GB2312" w:eastAsia="仿宋_GB2312"/>
          <w:sz w:val="28"/>
          <w:szCs w:val="28"/>
        </w:rPr>
        <w:pict>
          <v:line id="直接连接符 2" o:spid="_x0000_s2050" o:spt="20" style="position:absolute;left:0pt;flip:y;margin-left:-13.5pt;margin-top:29.1pt;height:0.6pt;width:472.5pt;z-index:251659264;mso-width-relative:page;mso-height-relative:page;" filled="f" stroked="t" coordsize="21600,21600" o:gfxdata="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qP&#10;4aHXAAAACQEAAA8AAAAAAAAAAQAgAAAAIgAAAGRycy9kb3ducmV2LnhtbFBLAQIUABQAAAAIAIdO&#10;4kCmcFKt6wEAALIDAAAOAAAAAAAAAAEAIAAAACYBAABkcnMvZTJvRG9jLnhtbFBLBQYAAAAABgAG&#10;AFkBAACDBQAAAAA=&#10;">
            <v:path arrowok="t"/>
            <v:fill on="f" focussize="0,0"/>
            <v:stroke weight="1.25pt" color="#000000" joinstyle="round"/>
            <v:imagedata o:title=""/>
            <o:lock v:ext="edit" aspectratio="f"/>
          </v:line>
        </w:pict>
      </w:r>
      <w:r>
        <w:rPr>
          <w:rFonts w:hint="eastAsia" w:ascii="仿宋_GB2312" w:eastAsia="仿宋_GB2312"/>
          <w:sz w:val="28"/>
          <w:szCs w:val="28"/>
        </w:rPr>
        <w:pict>
          <v:line id="直接连接符 3" o:spid="_x0000_s2051" o:spt="20" style="position:absolute;left:0pt;margin-left:-12.85pt;margin-top:0.6pt;height:0pt;width:466.05pt;z-index:251660288;mso-width-relative:page;mso-height-relative:page;" filled="f" stroked="t" coordsize="21600,21600" o:gfxdata="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eLTCtdUAAAAHAQAADwAA&#10;AAAAAAABACAAAAAiAAAAZHJzL2Rvd25yZXYueG1sUEsBAhQAFAAAAAgAh07iQLA2nAHgAQAApQMA&#10;AA4AAAAAAAAAAQAgAAAAJAEAAGRycy9lMm9Eb2MueG1sUEsFBgAAAAAGAAYAWQEAAHYFAAAAAA==&#10;">
            <v:path arrowok="t"/>
            <v:fill on="f" focussize="0,0"/>
            <v:stroke weight="1.25pt" color="#000000" joinstyle="round"/>
            <v:imagedata o:title=""/>
            <o:lock v:ext="edit" aspectratio="f"/>
          </v:line>
        </w:pict>
      </w:r>
      <w:r>
        <w:rPr>
          <w:rFonts w:hint="eastAsia" w:ascii="仿宋_GB2312" w:eastAsia="仿宋_GB2312"/>
          <w:sz w:val="28"/>
          <w:szCs w:val="28"/>
        </w:rPr>
        <w:t xml:space="preserve">崇义县人民政府办公室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 xml:space="preserve"> 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15</w:t>
      </w:r>
      <w:r>
        <w:rPr>
          <w:rFonts w:hint="eastAsia" w:ascii="仿宋_GB2312" w:eastAsia="仿宋_GB2312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588" w:bottom="209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30"/>
                    <w:szCs w:val="30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true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1E57B7A"/>
    <w:rsid w:val="00013A2E"/>
    <w:rsid w:val="000D6725"/>
    <w:rsid w:val="00655BB0"/>
    <w:rsid w:val="00710AFA"/>
    <w:rsid w:val="00950147"/>
    <w:rsid w:val="00B01070"/>
    <w:rsid w:val="00B17917"/>
    <w:rsid w:val="06133A39"/>
    <w:rsid w:val="063B6A83"/>
    <w:rsid w:val="068A534E"/>
    <w:rsid w:val="08FF4F80"/>
    <w:rsid w:val="152F3550"/>
    <w:rsid w:val="18354A14"/>
    <w:rsid w:val="32EA6534"/>
    <w:rsid w:val="37CF6E42"/>
    <w:rsid w:val="39584A00"/>
    <w:rsid w:val="51E57B7A"/>
    <w:rsid w:val="567042A6"/>
    <w:rsid w:val="5A346F0E"/>
    <w:rsid w:val="64C61C12"/>
    <w:rsid w:val="76031D45"/>
    <w:rsid w:val="7BFBB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259</Words>
  <Characters>161</Characters>
  <Lines>23</Lines>
  <Paragraphs>14</Paragraphs>
  <TotalTime>13</TotalTime>
  <ScaleCrop>false</ScaleCrop>
  <LinksUpToDate>false</LinksUpToDate>
  <CharactersWithSpaces>406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2022-04-06T16:42:00Z</dcterms:created>
  <dc:creator>Administrator</dc:creator>
  <cp:lastModifiedBy>user</cp:lastModifiedBy>
  <cp:lastPrinted>2022-06-09T15:20:00Z</cp:lastPrinted>
  <dcterms:modified xsi:type="dcterms:W3CDTF">2022-12-01T22:30:07Z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