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A8" w:rsidRPr="00232B65" w:rsidRDefault="00310397">
      <w:pPr>
        <w:jc w:val="center"/>
        <w:rPr>
          <w:rFonts w:asciiTheme="minorEastAsia" w:hAnsiTheme="minorEastAsia"/>
          <w:sz w:val="32"/>
          <w:szCs w:val="32"/>
        </w:rPr>
      </w:pPr>
      <w:r w:rsidRPr="00232B65">
        <w:rPr>
          <w:rFonts w:asciiTheme="minorEastAsia" w:hAnsiTheme="minorEastAsia" w:hint="eastAsia"/>
          <w:sz w:val="36"/>
          <w:szCs w:val="36"/>
        </w:rPr>
        <w:t>崇义县发展和改革委员会2021年部门预算</w:t>
      </w:r>
    </w:p>
    <w:p w:rsidR="00ED01A8" w:rsidRDefault="00310397">
      <w:pPr>
        <w:jc w:val="center"/>
        <w:rPr>
          <w:rFonts w:ascii="仿宋_GB2312" w:eastAsia="仿宋_GB2312"/>
          <w:sz w:val="32"/>
          <w:szCs w:val="32"/>
        </w:rPr>
      </w:pPr>
      <w:r>
        <w:rPr>
          <w:rFonts w:ascii="仿宋_GB2312" w:eastAsia="仿宋_GB2312" w:hint="eastAsia"/>
          <w:sz w:val="32"/>
          <w:szCs w:val="32"/>
        </w:rPr>
        <w:t>目  录</w:t>
      </w:r>
    </w:p>
    <w:p w:rsidR="00ED01A8" w:rsidRDefault="00310397">
      <w:pPr>
        <w:jc w:val="center"/>
        <w:rPr>
          <w:rFonts w:ascii="仿宋_GB2312" w:eastAsia="仿宋_GB2312"/>
          <w:sz w:val="32"/>
          <w:szCs w:val="32"/>
        </w:rPr>
      </w:pPr>
      <w:r>
        <w:rPr>
          <w:rFonts w:ascii="仿宋_GB2312" w:eastAsia="仿宋_GB2312" w:hint="eastAsia"/>
          <w:sz w:val="32"/>
          <w:szCs w:val="32"/>
        </w:rPr>
        <w:t>第一部分 崇义县发改委概况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一、部门主要职责</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二、部门基本情况</w:t>
      </w:r>
    </w:p>
    <w:p w:rsidR="00ED01A8" w:rsidRDefault="00310397">
      <w:pPr>
        <w:jc w:val="center"/>
        <w:rPr>
          <w:rFonts w:ascii="仿宋_GB2312" w:eastAsia="仿宋_GB2312"/>
          <w:sz w:val="32"/>
          <w:szCs w:val="32"/>
        </w:rPr>
      </w:pPr>
      <w:r>
        <w:rPr>
          <w:rFonts w:ascii="仿宋_GB2312" w:eastAsia="仿宋_GB2312" w:hint="eastAsia"/>
          <w:sz w:val="32"/>
          <w:szCs w:val="32"/>
        </w:rPr>
        <w:t>第二部分 崇义县发改委2021年部门预算情况说明</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一、2021年部门预算收支情况说明</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二、2021年“三公”经费预算情况说明</w:t>
      </w:r>
    </w:p>
    <w:p w:rsidR="00ED01A8" w:rsidRDefault="00310397">
      <w:pPr>
        <w:jc w:val="center"/>
        <w:rPr>
          <w:rFonts w:ascii="仿宋_GB2312" w:eastAsia="仿宋_GB2312"/>
          <w:sz w:val="32"/>
          <w:szCs w:val="32"/>
        </w:rPr>
      </w:pPr>
      <w:r>
        <w:rPr>
          <w:rFonts w:ascii="仿宋_GB2312" w:eastAsia="仿宋_GB2312" w:hint="eastAsia"/>
          <w:sz w:val="32"/>
          <w:szCs w:val="32"/>
        </w:rPr>
        <w:t>第三部分  崇义县发改委2021年部门预算表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一、收支预算总表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二、部门收入总表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三、部门支出总表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ED01A8" w:rsidRDefault="00310397">
      <w:pPr>
        <w:jc w:val="center"/>
        <w:rPr>
          <w:rFonts w:ascii="仿宋_GB2312" w:eastAsia="仿宋_GB2312"/>
          <w:sz w:val="32"/>
          <w:szCs w:val="32"/>
        </w:rPr>
      </w:pPr>
      <w:r>
        <w:rPr>
          <w:rFonts w:ascii="仿宋_GB2312" w:eastAsia="仿宋_GB2312" w:hint="eastAsia"/>
          <w:sz w:val="32"/>
          <w:szCs w:val="32"/>
        </w:rPr>
        <w:t>第四部分 名词解释</w:t>
      </w:r>
    </w:p>
    <w:p w:rsidR="00ED01A8" w:rsidRDefault="00ED01A8">
      <w:pPr>
        <w:jc w:val="center"/>
        <w:rPr>
          <w:rFonts w:ascii="仿宋_GB2312" w:eastAsia="仿宋_GB2312"/>
          <w:sz w:val="32"/>
          <w:szCs w:val="32"/>
        </w:rPr>
      </w:pPr>
    </w:p>
    <w:p w:rsidR="00ED01A8" w:rsidRDefault="00ED01A8">
      <w:pPr>
        <w:jc w:val="center"/>
        <w:rPr>
          <w:rFonts w:ascii="仿宋_GB2312" w:eastAsia="仿宋_GB2312"/>
          <w:sz w:val="32"/>
          <w:szCs w:val="32"/>
        </w:rPr>
      </w:pPr>
    </w:p>
    <w:p w:rsidR="00ED01A8" w:rsidRDefault="00ED01A8">
      <w:pPr>
        <w:jc w:val="center"/>
        <w:rPr>
          <w:rFonts w:ascii="仿宋_GB2312" w:eastAsia="仿宋_GB2312"/>
          <w:sz w:val="32"/>
          <w:szCs w:val="32"/>
        </w:rPr>
      </w:pPr>
    </w:p>
    <w:p w:rsidR="00ED01A8" w:rsidRDefault="00ED01A8">
      <w:pPr>
        <w:jc w:val="center"/>
        <w:rPr>
          <w:rFonts w:ascii="仿宋_GB2312" w:eastAsia="仿宋_GB2312"/>
          <w:sz w:val="32"/>
          <w:szCs w:val="32"/>
        </w:rPr>
      </w:pPr>
    </w:p>
    <w:p w:rsidR="00ED01A8" w:rsidRDefault="00310397">
      <w:pPr>
        <w:jc w:val="center"/>
        <w:rPr>
          <w:rFonts w:ascii="仿宋_GB2312" w:eastAsia="仿宋_GB2312"/>
          <w:sz w:val="32"/>
          <w:szCs w:val="32"/>
        </w:rPr>
      </w:pPr>
      <w:r>
        <w:rPr>
          <w:rFonts w:ascii="仿宋_GB2312" w:eastAsia="仿宋_GB2312" w:hint="eastAsia"/>
          <w:sz w:val="32"/>
          <w:szCs w:val="32"/>
        </w:rPr>
        <w:lastRenderedPageBreak/>
        <w:t>第一部分 崇义县发改委概况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一、部门主要职责</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（一）拟订并组织实施全县国民经济和社会发展战略、中长期规划和年度计划；</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（二）负责监测全县宏观经济和社会发展态势；</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（三）负责汇总分析全县财政、金融等方面的情况，参与制定全县财政政策和土地政策；</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（四）组织拟订综合性经济体制改革方案，协调有关专项经济体制改革方案；</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（五）拟订全社会固定资产投资总规模和投资结构的调控目标、政策及措施；</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（六）推进经济结构战略性调整，组织拟订全县综合性产业政策；</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（七）组织拟订发展循环经济、全社会能源资源节约和综合利用规划及政策措施并协调实施；</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（八）组织拟订全县区域协调发展的战略、规划和重大政策；研究提出全县城镇化发展战略和重大政策；牵头抓好赣南苏区振兴发展战略实施。</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（九）拟订全县战略物资储备规划，会同有关部门组织战略物资的收储、动用、轮换和管理国家粮油等储备；</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（十）负责全县社会发展与国民经济发展的政策衔接，组织拟订全县社会发展战略、总体规划和年度计划，协调社</w:t>
      </w:r>
      <w:r>
        <w:rPr>
          <w:rFonts w:ascii="仿宋_GB2312" w:eastAsia="仿宋_GB2312" w:hint="eastAsia"/>
          <w:sz w:val="32"/>
          <w:szCs w:val="32"/>
        </w:rPr>
        <w:lastRenderedPageBreak/>
        <w:t>会事业发展和改革中的重大问题及政策；</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（十一）起草全县国民经济和社会发展、经济体制改革和对外开放的有关地方性规章草案；</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（十二）组织编制全县国民经济动员规划、计划；</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（十三）研究提出能源发展战略的建议，拟订能源发展规划并组织实施；</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（十四）组织开展全县重点建设项目稽察，按照有关规定对违规问题提出处理意见；</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（十五）贯彻执行《价格法》等有关价格法律、法规和国家、省的价格方针、政策；负责起草地方性价格管理的法规和规章，编制组织实施全县价格改革方案。</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（十六）根据国家宏观调控措施的要求，结合地方实际情况，编制价格改革规划和年度计划；</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(十七）会同有关部门制定全县公共机构节能规划、规章制度、能源消耗定额并督促检查执行落实情况；落实县政府机关节能降耗目标责任制，指导全县公共机构制定年度节能目标和实施方案。</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(十八）落实县委、县政府关于节能减排工作部署，负责推进、指导、协调、监督、管理本县公共机构的节能工作。</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（十九）承办县人民政府交办的其他事项。</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二、部门基本情况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县发改委编制人数33人，其中：行政编制14人、参照</w:t>
      </w:r>
      <w:r>
        <w:rPr>
          <w:rFonts w:ascii="仿宋_GB2312" w:eastAsia="仿宋_GB2312" w:hint="eastAsia"/>
          <w:sz w:val="32"/>
          <w:szCs w:val="32"/>
        </w:rPr>
        <w:lastRenderedPageBreak/>
        <w:t xml:space="preserve">公务员管理的事业编制0人、全部补助事业编制19人；实有人数28人，其中：在职人数28人，包括行政人员14人，参照公务员管理事业人员0人、全部补助事业人员14人；离休人员0人；退休人员33人。 </w:t>
      </w:r>
    </w:p>
    <w:p w:rsidR="00ED01A8" w:rsidRDefault="00310397">
      <w:pPr>
        <w:jc w:val="center"/>
        <w:rPr>
          <w:rFonts w:ascii="仿宋_GB2312" w:eastAsia="仿宋_GB2312"/>
          <w:sz w:val="32"/>
          <w:szCs w:val="32"/>
        </w:rPr>
      </w:pPr>
      <w:r>
        <w:rPr>
          <w:rFonts w:ascii="仿宋_GB2312" w:eastAsia="仿宋_GB2312" w:hint="eastAsia"/>
          <w:sz w:val="32"/>
          <w:szCs w:val="32"/>
        </w:rPr>
        <w:t>第二部分  崇义县发改委2021年部门预算情况说明</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一、2021年部门预算收支情况说明</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（一）收入预算情况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2021年崇义县发改委收入预算总额375.54万元，较上年预算安排增加40%。其中：财政拨款收入375.54万元，上级补助收入</w:t>
      </w:r>
      <w:r w:rsidR="00232B65">
        <w:rPr>
          <w:rFonts w:ascii="仿宋_GB2312" w:eastAsia="仿宋_GB2312" w:hint="eastAsia"/>
          <w:sz w:val="32"/>
          <w:szCs w:val="32"/>
        </w:rPr>
        <w:t>0</w:t>
      </w:r>
      <w:r>
        <w:rPr>
          <w:rFonts w:ascii="仿宋_GB2312" w:eastAsia="仿宋_GB2312" w:hint="eastAsia"/>
          <w:sz w:val="32"/>
          <w:szCs w:val="32"/>
        </w:rPr>
        <w:t>万元，其他收入0万元，上年结转（结余）0万元。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（二）支出预算情况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2021年崇义县发改委支出预算总额为375.54万元，因行政事业单位机构改革，原物价局机构职能和原公共机构节能职能并入崇义县发改委，当年新增“十四五”规划编制、幸福产业推进等业务工作，较上年预算安排增加40%。其中：部门支出375.54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按支出项目类别划分：基本支出325.54万元，包括人员支出234.94万元、日常公用支出90.6万元；项目支出50万元，全部为行政事业性项目支出；上缴上级支出0万元。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按支出功能科目划分：一般公共服务支出315.91万元，社会保障和就业支出26.41万元，卫生健康支出16.51万元，</w:t>
      </w:r>
      <w:r>
        <w:rPr>
          <w:rFonts w:ascii="仿宋_GB2312" w:eastAsia="仿宋_GB2312" w:hint="eastAsia"/>
          <w:sz w:val="32"/>
          <w:szCs w:val="32"/>
        </w:rPr>
        <w:lastRenderedPageBreak/>
        <w:t>住房保障支出16.71万元。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按支出经济分类划分：工资福利支出234.14万元，商品和服务支出90.6万元，对个人和家庭补助0.8万元，其他资本性支出0万元，其他相关支出0万元。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2021年崇义县发改委财政拨款支出预算375.54万元，因行政事业单位机构改革，原物价局机构职能和原公共机构节能职能并入崇义县发改委，当年新增“十四五”规划编制、幸福产业推进等业务工作，比上年增加40% 。具体支出情况是：</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按支出功能科目划分：一般公共服务315.91万元，社会保障和就业支出26.41万元，卫生健康支出16.51万元，住房保障支出16.71万元。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按支出经济分类划分：工资福利支出234.14万元，商品和服务支出90.6万元，对个人和家庭的补助0.8万元，资本性支出0万元。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（四）政府性基金情况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本部门2021年没有使用政府性基金预算拨款安排的支出。</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（五）机关运行经费等重要事项的说明</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2021年本部门机关运行经费预算207.91</w:t>
      </w:r>
      <w:bookmarkStart w:id="0" w:name="_GoBack"/>
      <w:bookmarkEnd w:id="0"/>
      <w:r>
        <w:rPr>
          <w:rFonts w:ascii="仿宋_GB2312" w:eastAsia="仿宋_GB2312" w:hint="eastAsia"/>
          <w:sz w:val="32"/>
          <w:szCs w:val="32"/>
        </w:rPr>
        <w:t>万元，因行政事业单位机构改革，原物价局机构职能和原公共机构节能职</w:t>
      </w:r>
      <w:r>
        <w:rPr>
          <w:rFonts w:ascii="仿宋_GB2312" w:eastAsia="仿宋_GB2312" w:hint="eastAsia"/>
          <w:sz w:val="32"/>
          <w:szCs w:val="32"/>
        </w:rPr>
        <w:lastRenderedPageBreak/>
        <w:t>能并入崇义县发改委，当年新增“十四五”规划编制、幸福产业推进等业务工作，比2020年增加32%。</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（六）政府采购情况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2021年我委政府采购预算共安排10万元。其中，货物预算6万元，工程预算2万元，服务预算2万元。</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截至2020年12月31日，2020年部门预算安排购置车辆0辆，安排购置单位价值200万元以上大型设备0台。</w:t>
      </w:r>
    </w:p>
    <w:p w:rsidR="00ED01A8" w:rsidRDefault="00310397">
      <w:pPr>
        <w:ind w:firstLineChars="50" w:firstLine="160"/>
        <w:rPr>
          <w:rFonts w:ascii="仿宋_GB2312" w:eastAsia="仿宋_GB2312"/>
          <w:sz w:val="32"/>
          <w:szCs w:val="32"/>
        </w:rPr>
      </w:pPr>
      <w:r>
        <w:rPr>
          <w:rFonts w:ascii="仿宋_GB2312" w:eastAsia="仿宋_GB2312" w:hint="eastAsia"/>
          <w:sz w:val="32"/>
          <w:szCs w:val="32"/>
        </w:rPr>
        <w:t>（八）绩效目标设置情况</w:t>
      </w:r>
    </w:p>
    <w:p w:rsidR="00ED01A8" w:rsidRDefault="00310397">
      <w:pPr>
        <w:ind w:firstLineChars="150" w:firstLine="480"/>
        <w:rPr>
          <w:rFonts w:ascii="仿宋_GB2312" w:eastAsia="仿宋_GB2312"/>
          <w:sz w:val="32"/>
          <w:szCs w:val="32"/>
        </w:rPr>
      </w:pPr>
      <w:r>
        <w:rPr>
          <w:rFonts w:ascii="仿宋_GB2312" w:eastAsia="仿宋_GB2312" w:hint="eastAsia"/>
          <w:sz w:val="32"/>
          <w:szCs w:val="32"/>
        </w:rPr>
        <w:t>2021年实行绩效目标管理的项目  1个，涉及资金  50万元；纳入绩效目标批复试点的项目  1个，涉及资金  50 万元。</w:t>
      </w:r>
    </w:p>
    <w:p w:rsidR="00ED01A8" w:rsidRDefault="00ED01A8">
      <w:pPr>
        <w:ind w:firstLineChars="200" w:firstLine="640"/>
        <w:rPr>
          <w:rFonts w:ascii="仿宋_GB2312" w:eastAsia="仿宋_GB2312"/>
          <w:sz w:val="32"/>
          <w:szCs w:val="32"/>
        </w:rPr>
      </w:pP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二、2021年“三公”经费预算情况说明</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2021年崇义县发改委“三公”经费预算安排 32.41万元，2019年行政事业单位机构改革，原物价局机构职能和原公共机构节能职能并入崇义县发改委。</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因公出国（境）费0万元，与上年预算数相等。</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公务接待费32.41万元，比去年</w:t>
      </w:r>
      <w:r w:rsidR="00232B65">
        <w:rPr>
          <w:rFonts w:ascii="仿宋_GB2312" w:eastAsia="仿宋_GB2312" w:hint="eastAsia"/>
          <w:sz w:val="32"/>
          <w:szCs w:val="32"/>
        </w:rPr>
        <w:t>减少减少0.01万元，下降0.03%，主要原因是接待减少。</w:t>
      </w:r>
      <w:r>
        <w:rPr>
          <w:rFonts w:ascii="仿宋_GB2312" w:eastAsia="仿宋_GB2312" w:hint="eastAsia"/>
          <w:sz w:val="32"/>
          <w:szCs w:val="32"/>
        </w:rPr>
        <w:t>。</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公务用车运行维护费0万元，与上年预算数相等。</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公务用车购置费0万元，与上年预算数相等。</w:t>
      </w:r>
    </w:p>
    <w:p w:rsidR="00ED01A8" w:rsidRDefault="00310397">
      <w:pPr>
        <w:jc w:val="center"/>
        <w:rPr>
          <w:rFonts w:ascii="仿宋_GB2312" w:eastAsia="仿宋_GB2312"/>
          <w:sz w:val="32"/>
          <w:szCs w:val="32"/>
        </w:rPr>
      </w:pPr>
      <w:r>
        <w:rPr>
          <w:rFonts w:ascii="仿宋_GB2312" w:eastAsia="仿宋_GB2312" w:hint="eastAsia"/>
          <w:sz w:val="32"/>
          <w:szCs w:val="32"/>
        </w:rPr>
        <w:lastRenderedPageBreak/>
        <w:t>第三部分  崇义县发改委2021年部门预算表</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八张表（详见附表）</w:t>
      </w:r>
    </w:p>
    <w:p w:rsidR="00ED01A8" w:rsidRDefault="00ED01A8">
      <w:pPr>
        <w:jc w:val="center"/>
        <w:rPr>
          <w:rFonts w:ascii="仿宋_GB2312" w:eastAsia="仿宋_GB2312"/>
          <w:sz w:val="32"/>
          <w:szCs w:val="32"/>
        </w:rPr>
      </w:pPr>
    </w:p>
    <w:p w:rsidR="00ED01A8" w:rsidRDefault="00310397">
      <w:pPr>
        <w:jc w:val="center"/>
        <w:rPr>
          <w:rFonts w:ascii="仿宋_GB2312" w:eastAsia="仿宋_GB2312"/>
          <w:sz w:val="32"/>
          <w:szCs w:val="32"/>
        </w:rPr>
      </w:pPr>
      <w:r>
        <w:rPr>
          <w:rFonts w:ascii="仿宋_GB2312" w:eastAsia="仿宋_GB2312" w:hint="eastAsia"/>
          <w:sz w:val="32"/>
          <w:szCs w:val="32"/>
        </w:rPr>
        <w:t>第四部分   名词解释</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一、收入科目</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（一）财政拨款：指县级财政当年拨付的资金。</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二、支出科目</w:t>
      </w:r>
    </w:p>
    <w:p w:rsidR="004F7292" w:rsidRDefault="00310397">
      <w:pPr>
        <w:ind w:firstLineChars="250" w:firstLine="800"/>
        <w:rPr>
          <w:rFonts w:ascii="仿宋_GB2312" w:eastAsia="仿宋_GB2312"/>
          <w:sz w:val="32"/>
          <w:szCs w:val="32"/>
        </w:rPr>
      </w:pPr>
      <w:r>
        <w:rPr>
          <w:rFonts w:ascii="仿宋_GB2312" w:eastAsia="仿宋_GB2312" w:hint="eastAsia"/>
          <w:sz w:val="32"/>
          <w:szCs w:val="32"/>
        </w:rPr>
        <w:t>（一）行政运行：反映行政单位（包括参公单位）的基本支出。</w:t>
      </w:r>
    </w:p>
    <w:p w:rsidR="00ED01A8" w:rsidRDefault="00310397" w:rsidP="004F7292">
      <w:pPr>
        <w:ind w:firstLineChars="200" w:firstLine="640"/>
        <w:rPr>
          <w:rFonts w:ascii="仿宋_GB2312" w:eastAsia="仿宋_GB2312"/>
          <w:sz w:val="32"/>
          <w:szCs w:val="32"/>
        </w:rPr>
      </w:pPr>
      <w:r>
        <w:rPr>
          <w:rFonts w:ascii="仿宋_GB2312" w:eastAsia="仿宋_GB2312" w:hint="eastAsia"/>
          <w:sz w:val="32"/>
          <w:szCs w:val="32"/>
        </w:rPr>
        <w:t>（二）机关服务：反映为行政单位（包括实行公务员管理的事业单位）提供后勤服务的各类后勤服务中心、医务室等附属事业单位的支出。</w:t>
      </w:r>
    </w:p>
    <w:p w:rsidR="004F7292" w:rsidRDefault="004F7292">
      <w:pPr>
        <w:ind w:firstLineChars="250" w:firstLine="800"/>
        <w:rPr>
          <w:rFonts w:ascii="仿宋_GB2312" w:eastAsia="仿宋_GB2312"/>
          <w:sz w:val="32"/>
          <w:szCs w:val="32"/>
        </w:rPr>
      </w:pPr>
      <w:r>
        <w:rPr>
          <w:rFonts w:ascii="仿宋_GB2312" w:eastAsia="仿宋_GB2312" w:hint="eastAsia"/>
          <w:sz w:val="32"/>
          <w:szCs w:val="32"/>
        </w:rPr>
        <w:t>(三)物价管理：反映物价管理方面的支出。</w:t>
      </w:r>
    </w:p>
    <w:p w:rsidR="004F7292" w:rsidRPr="004F7292" w:rsidRDefault="004F7292" w:rsidP="004F7292">
      <w:pPr>
        <w:ind w:firstLineChars="200" w:firstLine="640"/>
        <w:rPr>
          <w:rFonts w:ascii="仿宋_GB2312" w:eastAsia="仿宋_GB2312"/>
          <w:sz w:val="32"/>
          <w:szCs w:val="32"/>
        </w:rPr>
      </w:pPr>
      <w:r>
        <w:rPr>
          <w:rFonts w:ascii="仿宋_GB2312" w:eastAsia="仿宋_GB2312" w:hint="eastAsia"/>
          <w:sz w:val="32"/>
          <w:szCs w:val="32"/>
        </w:rPr>
        <w:t>（四）事业运行：反映事业单位的基本支出，不包括行政单位（包括实行公务员管理的事业）单位后勤服务中心、医务室等附属事业单位。</w:t>
      </w:r>
    </w:p>
    <w:p w:rsidR="00ED01A8" w:rsidRDefault="00310397">
      <w:pPr>
        <w:ind w:firstLineChars="250" w:firstLine="800"/>
        <w:rPr>
          <w:rFonts w:ascii="仿宋_GB2312" w:eastAsia="仿宋_GB2312"/>
          <w:sz w:val="32"/>
          <w:szCs w:val="32"/>
        </w:rPr>
      </w:pPr>
      <w:r>
        <w:rPr>
          <w:rFonts w:ascii="仿宋_GB2312" w:eastAsia="仿宋_GB2312" w:hint="eastAsia"/>
          <w:sz w:val="32"/>
          <w:szCs w:val="32"/>
        </w:rPr>
        <w:t>（</w:t>
      </w:r>
      <w:r w:rsidR="004F7292">
        <w:rPr>
          <w:rFonts w:ascii="仿宋_GB2312" w:eastAsia="仿宋_GB2312" w:hint="eastAsia"/>
          <w:sz w:val="32"/>
          <w:szCs w:val="32"/>
        </w:rPr>
        <w:t>五</w:t>
      </w:r>
      <w:r>
        <w:rPr>
          <w:rFonts w:ascii="仿宋_GB2312" w:eastAsia="仿宋_GB2312" w:hint="eastAsia"/>
          <w:sz w:val="32"/>
          <w:szCs w:val="32"/>
        </w:rPr>
        <w:t>） 其他发展与改革事务支出：反映除上述项目以外的其他发展与改革事务支出。</w:t>
      </w:r>
    </w:p>
    <w:p w:rsidR="00ED01A8" w:rsidRDefault="00310397">
      <w:pPr>
        <w:widowControl/>
        <w:wordWrap w:val="0"/>
        <w:spacing w:line="580" w:lineRule="atLeast"/>
        <w:ind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w:t>
      </w:r>
      <w:r w:rsidR="004F7292">
        <w:rPr>
          <w:rFonts w:ascii="仿宋_GB2312" w:eastAsia="仿宋_GB2312" w:hint="eastAsia"/>
          <w:color w:val="333333"/>
          <w:kern w:val="0"/>
          <w:sz w:val="32"/>
          <w:szCs w:val="32"/>
        </w:rPr>
        <w:t>六</w:t>
      </w:r>
      <w:r>
        <w:rPr>
          <w:rFonts w:ascii="仿宋_GB2312" w:eastAsia="仿宋_GB2312" w:hint="eastAsia"/>
          <w:color w:val="333333"/>
          <w:kern w:val="0"/>
          <w:sz w:val="32"/>
          <w:szCs w:val="32"/>
        </w:rPr>
        <w:t>）机关事业单位基本养老保险缴费支出：反映机关事业单位实施养老保险制度由单位缴纳的基本养老保险费的支出。</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w:t>
      </w:r>
      <w:r w:rsidR="004F7292">
        <w:rPr>
          <w:rFonts w:ascii="仿宋_GB2312" w:eastAsia="仿宋_GB2312" w:hint="eastAsia"/>
          <w:sz w:val="32"/>
          <w:szCs w:val="32"/>
        </w:rPr>
        <w:t>七</w:t>
      </w:r>
      <w:r>
        <w:rPr>
          <w:rFonts w:ascii="仿宋_GB2312" w:eastAsia="仿宋_GB2312" w:hint="eastAsia"/>
          <w:sz w:val="32"/>
          <w:szCs w:val="32"/>
        </w:rPr>
        <w:t>）行政单位医疗：反映财政部门集中安排的行政事</w:t>
      </w:r>
      <w:r>
        <w:rPr>
          <w:rFonts w:ascii="仿宋_GB2312" w:eastAsia="仿宋_GB2312" w:hint="eastAsia"/>
          <w:sz w:val="32"/>
          <w:szCs w:val="32"/>
        </w:rPr>
        <w:lastRenderedPageBreak/>
        <w:t>业单位基本医疗保险缴费经费。</w:t>
      </w:r>
    </w:p>
    <w:p w:rsidR="00ED01A8" w:rsidRDefault="00310397">
      <w:pPr>
        <w:ind w:firstLineChars="200" w:firstLine="640"/>
        <w:rPr>
          <w:rFonts w:ascii="仿宋_GB2312" w:eastAsia="仿宋_GB2312"/>
          <w:sz w:val="32"/>
          <w:szCs w:val="32"/>
        </w:rPr>
      </w:pPr>
      <w:r>
        <w:rPr>
          <w:rFonts w:ascii="仿宋_GB2312" w:eastAsia="仿宋_GB2312" w:hint="eastAsia"/>
          <w:sz w:val="32"/>
          <w:szCs w:val="32"/>
        </w:rPr>
        <w:t>（</w:t>
      </w:r>
      <w:r w:rsidR="004F7292">
        <w:rPr>
          <w:rFonts w:ascii="仿宋_GB2312" w:eastAsia="仿宋_GB2312" w:hint="eastAsia"/>
          <w:sz w:val="32"/>
          <w:szCs w:val="32"/>
        </w:rPr>
        <w:t>八</w:t>
      </w:r>
      <w:r>
        <w:rPr>
          <w:rFonts w:ascii="仿宋_GB2312" w:eastAsia="仿宋_GB2312" w:hint="eastAsia"/>
          <w:sz w:val="32"/>
          <w:szCs w:val="32"/>
        </w:rPr>
        <w:t>）住房公积金：反映行政事业单位按人力资源和社会保障部、财政部规定的基本工资和津补贴以及规定比例为职工缴纳的住房公积金。</w:t>
      </w:r>
    </w:p>
    <w:p w:rsidR="00ED01A8" w:rsidRDefault="00ED01A8">
      <w:pPr>
        <w:widowControl/>
        <w:shd w:val="clear" w:color="auto" w:fill="FFFFFF"/>
        <w:ind w:firstLine="640"/>
        <w:jc w:val="left"/>
        <w:rPr>
          <w:rFonts w:ascii="仿宋_GB2312" w:eastAsia="仿宋_GB2312"/>
          <w:sz w:val="32"/>
          <w:szCs w:val="32"/>
        </w:rPr>
      </w:pPr>
    </w:p>
    <w:p w:rsidR="00ED01A8" w:rsidRDefault="00ED01A8"/>
    <w:p w:rsidR="00ED01A8" w:rsidRDefault="00ED01A8">
      <w:pPr>
        <w:pStyle w:val="a5"/>
        <w:shd w:val="clear" w:color="auto" w:fill="FFFFFF"/>
        <w:spacing w:before="0" w:beforeAutospacing="0" w:after="0" w:afterAutospacing="0" w:line="525" w:lineRule="atLeast"/>
        <w:ind w:firstLine="645"/>
        <w:rPr>
          <w:rFonts w:ascii="仿宋_GB2312" w:eastAsia="仿宋_GB2312"/>
          <w:sz w:val="32"/>
          <w:szCs w:val="32"/>
        </w:rPr>
      </w:pPr>
    </w:p>
    <w:p w:rsidR="00ED01A8" w:rsidRDefault="00ED01A8">
      <w:pPr>
        <w:ind w:firstLineChars="200" w:firstLine="640"/>
        <w:rPr>
          <w:rFonts w:ascii="仿宋_GB2312" w:eastAsia="仿宋_GB2312"/>
          <w:sz w:val="32"/>
          <w:szCs w:val="32"/>
        </w:rPr>
      </w:pPr>
    </w:p>
    <w:sectPr w:rsidR="00ED01A8" w:rsidSect="00ED01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7C" w:rsidRDefault="0084247C" w:rsidP="004F7292">
      <w:r>
        <w:separator/>
      </w:r>
    </w:p>
  </w:endnote>
  <w:endnote w:type="continuationSeparator" w:id="0">
    <w:p w:rsidR="0084247C" w:rsidRDefault="0084247C" w:rsidP="004F72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7C" w:rsidRDefault="0084247C" w:rsidP="004F7292">
      <w:r>
        <w:separator/>
      </w:r>
    </w:p>
  </w:footnote>
  <w:footnote w:type="continuationSeparator" w:id="0">
    <w:p w:rsidR="0084247C" w:rsidRDefault="0084247C" w:rsidP="004F72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3F9"/>
    <w:rsid w:val="0004711C"/>
    <w:rsid w:val="00232B65"/>
    <w:rsid w:val="00310397"/>
    <w:rsid w:val="003A5E1D"/>
    <w:rsid w:val="004F7292"/>
    <w:rsid w:val="00520B07"/>
    <w:rsid w:val="006A328B"/>
    <w:rsid w:val="00742975"/>
    <w:rsid w:val="007E5DDA"/>
    <w:rsid w:val="0084247C"/>
    <w:rsid w:val="00A30FA0"/>
    <w:rsid w:val="00A463F9"/>
    <w:rsid w:val="00AC7197"/>
    <w:rsid w:val="00ED01A8"/>
    <w:rsid w:val="00F37336"/>
    <w:rsid w:val="03AD144E"/>
    <w:rsid w:val="06712D53"/>
    <w:rsid w:val="08916F72"/>
    <w:rsid w:val="10FB330D"/>
    <w:rsid w:val="114E631D"/>
    <w:rsid w:val="12135C42"/>
    <w:rsid w:val="14403ECB"/>
    <w:rsid w:val="166B03DA"/>
    <w:rsid w:val="17E920DB"/>
    <w:rsid w:val="180D7808"/>
    <w:rsid w:val="1B7351BC"/>
    <w:rsid w:val="1EDD6289"/>
    <w:rsid w:val="2170437A"/>
    <w:rsid w:val="2B8C7295"/>
    <w:rsid w:val="2C4E0C9F"/>
    <w:rsid w:val="2FA947E6"/>
    <w:rsid w:val="3143143D"/>
    <w:rsid w:val="32AD373F"/>
    <w:rsid w:val="339A6F0A"/>
    <w:rsid w:val="343C65E1"/>
    <w:rsid w:val="3626195C"/>
    <w:rsid w:val="3A881F3F"/>
    <w:rsid w:val="3BB4652B"/>
    <w:rsid w:val="3E6406BC"/>
    <w:rsid w:val="3E9B40A9"/>
    <w:rsid w:val="3EB21247"/>
    <w:rsid w:val="3F7F3D41"/>
    <w:rsid w:val="42266778"/>
    <w:rsid w:val="42D06D77"/>
    <w:rsid w:val="454A573D"/>
    <w:rsid w:val="47FC68F2"/>
    <w:rsid w:val="55463FC9"/>
    <w:rsid w:val="5B0F1CEB"/>
    <w:rsid w:val="5E1359F8"/>
    <w:rsid w:val="70234F2E"/>
    <w:rsid w:val="71591721"/>
    <w:rsid w:val="74062464"/>
    <w:rsid w:val="75E916AA"/>
    <w:rsid w:val="76C36647"/>
    <w:rsid w:val="7A083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D01A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01A8"/>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D01A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ED01A8"/>
    <w:rPr>
      <w:kern w:val="2"/>
      <w:sz w:val="18"/>
      <w:szCs w:val="18"/>
    </w:rPr>
  </w:style>
  <w:style w:type="character" w:customStyle="1" w:styleId="Char">
    <w:name w:val="页脚 Char"/>
    <w:basedOn w:val="a0"/>
    <w:link w:val="a3"/>
    <w:uiPriority w:val="99"/>
    <w:semiHidden/>
    <w:qFormat/>
    <w:rsid w:val="00ED01A8"/>
    <w:rPr>
      <w:kern w:val="2"/>
      <w:sz w:val="18"/>
      <w:szCs w:val="18"/>
    </w:rPr>
  </w:style>
</w:styles>
</file>

<file path=word/webSettings.xml><?xml version="1.0" encoding="utf-8"?>
<w:webSettings xmlns:r="http://schemas.openxmlformats.org/officeDocument/2006/relationships" xmlns:w="http://schemas.openxmlformats.org/wordprocessingml/2006/main">
  <w:divs>
    <w:div w:id="112061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451</Words>
  <Characters>2574</Characters>
  <Application>Microsoft Office Word</Application>
  <DocSecurity>0</DocSecurity>
  <Lines>21</Lines>
  <Paragraphs>6</Paragraphs>
  <ScaleCrop>false</ScaleCrop>
  <Company>微软中国</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2020-06-17T07:58:00Z</cp:lastPrinted>
  <dcterms:created xsi:type="dcterms:W3CDTF">2021-05-20T13:55:00Z</dcterms:created>
  <dcterms:modified xsi:type="dcterms:W3CDTF">2021-05-20T13:55:00Z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