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color w:val="FF0000"/>
          <w:sz w:val="48"/>
          <w:szCs w:val="48"/>
        </w:rPr>
      </w:pPr>
      <w:r>
        <w:rPr>
          <w:rFonts w:ascii="黑体" w:hAnsi="黑体" w:eastAsia="黑体" w:cs="黑体"/>
          <w:b/>
          <w:color w:val="FF0000"/>
          <w:sz w:val="48"/>
          <w:szCs w:val="48"/>
        </w:rPr>
        <w:pict>
          <v:shape id="文本框 4" o:spid="_x0000_s1026" o:spt="202" type="#_x0000_t202" style="position:absolute;left:0pt;margin-left:-5.25pt;margin-top:0pt;height:54.7pt;width:144pt;z-index:251659264;mso-width-relative:page;mso-height-relative:page;" filled="f" stroked="f" coordsize="21600,21600" o:gfxdata="UEsDBAoAAAAAAIdO4kAAAAAAAAAAAAAAAAAEAAAAZHJzL1BLAwQUAAAACACHTuJAjDJ6HtUAAAAI&#10;AQAADwAAAGRycy9kb3ducmV2LnhtbE2PzU7DMBCE70i8g7VI3Fo7VUtpiNMDiGsR5Ufito23SUS8&#10;jmK3Sd+e5QTH0Yxmvim2k+/UmYbYBraQzQ0o4iq4lmsL72/Ps3tQMSE77AKThQtF2JbXVwXmLoz8&#10;Sud9qpWUcMzRQpNSn2sdq4Y8xnnoicU7hsFjEjnU2g04Srnv9MKYO+2xZVlosKfHhqrv/clb+Ngd&#10;vz6X5qV+8qt+DJPR7Dfa2tubzDyASjSlvzD84gs6lMJ0CCd2UXUWZplZSdSCPBJ7sV6LPEjObJag&#10;y0L/P1D+AFBLAwQUAAAACACHTuJABdpbCYwBAAAAAwAADgAAAGRycy9lMm9Eb2MueG1srVI7TgMx&#10;EO2RuIPlnniJUBRW2SChKDQIkIADOF47a2ntsWyT3VwAbkBFQ8+5cg7GTgi/DtH4M/P8Zt4bT856&#10;05KV9EGDrejxoKBEWgG1tsuK3t/Nj8aUhMhtzVuwsqJrGejZ9PBg0rlSDqGBtpaeIIkNZecq2sTo&#10;SsaCaKThYQBOWkwq8IZHvPolqz3vkN20bFgUI9aBr50HIUPA6GybpNPMr5QU8VqpICNpK4q9xbz6&#10;vC7SyqYTXi49d40Wuzb4H7owXFssuqea8cjJg9e/qIwWHgKoOBBgGCilhcwaUM1x8UPNbcOdzFrQ&#10;nOD2NoX/oxVXqxtPdI2zo8RygyPaPD9tXt42r4/kJNnTuVAi6tYhLvbn0CfoLh4wmFT3ypu0ox6C&#10;eTR6vTdX9pGI9Gg8HI8LTAnMjU5PRqfZffb52vkQLyQYkg4V9Ti87ClfXYaIFRH6AUnFLMx12+YB&#10;tvZbAIEpwlLr2xbTKfaLftf3Auo1ynlwXi8bLJUFZTjanAvtvkSa49d7Jv38uNN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DJ6HtUAAAAIAQAADwAAAAAAAAABACAAAAAiAAAAZHJzL2Rvd25yZXYu&#10;eG1sUEsBAhQAFAAAAAgAh07iQAXaWwmMAQAAAAMAAA4AAAAAAAAAAQAgAAAAJAEAAGRycy9lMm9E&#10;b2MueG1sUEsFBgAAAAAGAAYAWQEAACI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440" w:lineRule="exact"/>
                    <w:jc w:val="distribute"/>
                    <w:rPr>
                      <w:rFonts w:ascii="楷体_GB2312" w:eastAsia="楷体_GB2312"/>
                      <w:sz w:val="30"/>
                      <w:szCs w:val="30"/>
                    </w:rPr>
                  </w:pPr>
                  <w:r>
                    <w:rPr>
                      <w:rFonts w:hint="eastAsia" w:ascii="楷体_GB2312" w:eastAsia="楷体_GB2312"/>
                      <w:sz w:val="30"/>
                      <w:szCs w:val="30"/>
                    </w:rPr>
                    <w:t>县十八届人大七次</w:t>
                  </w:r>
                </w:p>
                <w:p>
                  <w:pPr>
                    <w:jc w:val="distribute"/>
                    <w:rPr>
                      <w:spacing w:val="6"/>
                    </w:rPr>
                  </w:pPr>
                  <w:r>
                    <w:rPr>
                      <w:rFonts w:hint="eastAsia" w:ascii="楷体_GB2312" w:eastAsia="楷体_GB2312"/>
                      <w:spacing w:val="6"/>
                      <w:sz w:val="30"/>
                      <w:szCs w:val="30"/>
                    </w:rPr>
                    <w:t>会议文件（**）</w:t>
                  </w:r>
                </w:p>
              </w:txbxContent>
            </v:textbox>
          </v:shape>
        </w:pict>
      </w:r>
    </w:p>
    <w:p>
      <w:pPr>
        <w:spacing w:line="600" w:lineRule="exact"/>
        <w:jc w:val="center"/>
        <w:rPr>
          <w:rFonts w:ascii="黑体" w:hAnsi="黑体" w:eastAsia="黑体" w:cs="黑体"/>
          <w:b/>
          <w:color w:val="FF0000"/>
          <w:sz w:val="48"/>
          <w:szCs w:val="48"/>
        </w:rPr>
      </w:pPr>
    </w:p>
    <w:p>
      <w:pPr>
        <w:spacing w:line="600" w:lineRule="exact"/>
        <w:jc w:val="center"/>
        <w:rPr>
          <w:rFonts w:ascii="黑体" w:hAnsi="黑体" w:eastAsia="黑体" w:cs="黑体"/>
          <w:b/>
          <w:color w:val="FF0000"/>
          <w:sz w:val="48"/>
          <w:szCs w:val="48"/>
        </w:rPr>
      </w:pPr>
    </w:p>
    <w:p>
      <w:pPr>
        <w:spacing w:line="6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关于崇义县2020年财政预算执行情况和</w:t>
      </w:r>
    </w:p>
    <w:p>
      <w:pPr>
        <w:spacing w:line="62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2021年财政预算草案的报告（书面）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——2021年2月24日在崇义县第十八届人民代表大会第七次会议上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县财政局局长  曹梦飞</w:t>
      </w:r>
    </w:p>
    <w:p>
      <w:pPr>
        <w:spacing w:line="560" w:lineRule="exact"/>
        <w:ind w:firstLine="560" w:firstLineChars="200"/>
        <w:rPr>
          <w:rFonts w:ascii="楷体_GB2312" w:hAnsi="楷体_GB2312" w:eastAsia="楷体_GB2312" w:cs="楷体_GB2312"/>
          <w:bCs/>
          <w:sz w:val="28"/>
          <w:szCs w:val="28"/>
        </w:rPr>
      </w:pPr>
    </w:p>
    <w:p>
      <w:pPr>
        <w:pStyle w:val="6"/>
        <w:spacing w:before="0" w:beforeAutospacing="0" w:after="0" w:afterAutospacing="0" w:line="600" w:lineRule="exact"/>
        <w:jc w:val="both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各位代表：</w:t>
      </w:r>
    </w:p>
    <w:p>
      <w:pPr>
        <w:pStyle w:val="6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受县人民政府委托，我向大会报告崇义县2020年财政预算执行情况和2021年财政预算草案，请大会予以审议，并请列席会议的同志提出意见。</w:t>
      </w:r>
    </w:p>
    <w:p>
      <w:pPr>
        <w:spacing w:line="60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一、2020年财政预算执行情况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2020年面对新冠肺炎疫情的冲击，在县委的坚强领导下，在县人大、县政协的监督支持下，全县财政部门以习近平新时代中国特色社会主义思想为指导，紧紧围绕县委的各项决策部署，</w:t>
      </w:r>
      <w:r>
        <w:rPr>
          <w:rFonts w:ascii="仿宋_GB2312" w:hAnsi="仿宋" w:eastAsia="仿宋_GB2312"/>
          <w:sz w:val="32"/>
          <w:szCs w:val="32"/>
        </w:rPr>
        <w:t>坚持稳中求进工作总基调，坚持新发展理念，巩固减税降费成效，推动积极的财政政策提质增效，扎实做好“六稳”工作，全面落实“六保”任务，深化财税体制改革</w:t>
      </w:r>
      <w:r>
        <w:rPr>
          <w:rFonts w:hint="eastAsia" w:ascii="仿宋_GB2312" w:hAnsi="仿宋" w:eastAsia="仿宋_GB2312"/>
          <w:sz w:val="32"/>
          <w:szCs w:val="32"/>
        </w:rPr>
        <w:t>,</w:t>
      </w:r>
      <w:r>
        <w:rPr>
          <w:rFonts w:ascii="仿宋_GB2312" w:hAnsi="仿宋" w:eastAsia="仿宋_GB2312"/>
          <w:sz w:val="32"/>
          <w:szCs w:val="32"/>
        </w:rPr>
        <w:t>统筹推进疫情防控和经济社会发展工作，全力支持高质量发展</w:t>
      </w:r>
      <w:r>
        <w:rPr>
          <w:rFonts w:hint="eastAsia" w:ascii="仿宋_GB2312" w:hAnsi="仿宋" w:eastAsia="仿宋_GB2312"/>
          <w:sz w:val="32"/>
          <w:szCs w:val="32"/>
        </w:rPr>
        <w:t>,</w:t>
      </w:r>
      <w:r>
        <w:rPr>
          <w:rFonts w:ascii="仿宋_GB2312" w:hAnsi="仿宋" w:eastAsia="仿宋_GB2312"/>
          <w:sz w:val="32"/>
          <w:szCs w:val="32"/>
        </w:rPr>
        <w:t>为建设</w:t>
      </w:r>
      <w:r>
        <w:rPr>
          <w:rFonts w:hint="eastAsia" w:ascii="仿宋_GB2312" w:hAnsi="仿宋" w:eastAsia="仿宋_GB2312"/>
          <w:sz w:val="32"/>
          <w:szCs w:val="32"/>
        </w:rPr>
        <w:t>“幸福崇义”</w:t>
      </w:r>
      <w:r>
        <w:rPr>
          <w:rFonts w:ascii="仿宋_GB2312" w:hAnsi="仿宋" w:eastAsia="仿宋_GB2312"/>
          <w:sz w:val="32"/>
          <w:szCs w:val="32"/>
        </w:rPr>
        <w:t>提供了有力的财政支撑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（一）一般公共预算执行情况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2020年我县累计完成财政总收入136091万元</w:t>
      </w:r>
      <w:r>
        <w:rPr>
          <w:rFonts w:hint="eastAsia" w:ascii="仿宋_GB2312" w:eastAsia="仿宋_GB2312"/>
          <w:sz w:val="32"/>
          <w:szCs w:val="32"/>
        </w:rPr>
        <w:t>（详见附件1）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，完成调整预算的100%，同比增长1.3%，增幅列全市第10位。分部门完成情况：税务部门完成</w:t>
      </w:r>
      <w:r>
        <w:rPr>
          <w:rFonts w:hint="eastAsia" w:ascii="仿宋_GB2312" w:hAnsi="仿宋" w:eastAsia="仿宋_GB2312"/>
          <w:sz w:val="32"/>
          <w:szCs w:val="32"/>
        </w:rPr>
        <w:t>96600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万元，同比下降11.9%；财政部门完成</w:t>
      </w:r>
      <w:r>
        <w:rPr>
          <w:rFonts w:hint="eastAsia" w:ascii="仿宋_GB2312" w:hAnsi="仿宋" w:eastAsia="仿宋_GB2312"/>
          <w:sz w:val="32"/>
          <w:szCs w:val="32"/>
        </w:rPr>
        <w:t>39491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同比增长60.5</w:t>
      </w:r>
      <w:r>
        <w:rPr>
          <w:rFonts w:hint="eastAsia" w:ascii="仿宋_GB2312" w:hAnsi="仿宋_GB2312" w:eastAsia="仿宋_GB2312" w:cs="仿宋_GB2312"/>
          <w:sz w:val="32"/>
          <w:szCs w:val="32"/>
        </w:rPr>
        <w:t>%。一般公共预算收入完成93665万元，完成</w:t>
      </w:r>
      <w:r>
        <w:rPr>
          <w:rFonts w:hint="eastAsia" w:ascii="仿宋_GB2312" w:hAnsi="仿宋" w:eastAsia="仿宋_GB2312"/>
          <w:sz w:val="32"/>
          <w:szCs w:val="32"/>
        </w:rPr>
        <w:t>调整预算的100.5</w:t>
      </w:r>
      <w:r>
        <w:rPr>
          <w:rFonts w:hint="eastAsia" w:ascii="仿宋_GB2312" w:hAnsi="仿宋_GB2312" w:eastAsia="仿宋_GB2312" w:cs="仿宋_GB2312"/>
          <w:sz w:val="32"/>
          <w:szCs w:val="32"/>
        </w:rPr>
        <w:t>%，同比下降1.2%。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2020年我县一般公共预算支出累计完成305560万元</w:t>
      </w:r>
      <w:r>
        <w:rPr>
          <w:rFonts w:hint="eastAsia" w:ascii="仿宋_GB2312" w:eastAsia="仿宋_GB2312"/>
          <w:sz w:val="32"/>
          <w:szCs w:val="32"/>
        </w:rPr>
        <w:t>（详见附件2）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，完成调整预算的101.6%，同比增长0.1%。其中：十三项民生支出完成</w:t>
      </w:r>
      <w:r>
        <w:rPr>
          <w:rFonts w:hint="eastAsia" w:ascii="仿宋_GB2312" w:hAnsi="仿宋" w:eastAsia="仿宋_GB2312"/>
          <w:sz w:val="32"/>
          <w:szCs w:val="32"/>
        </w:rPr>
        <w:t>239594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万元，同比增长0.5%，占一般公共预算支出比重达78.4%。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93665万元，加上级各项补助收入154871万元（其中：返还性收入4457万元、专项转移支付收入22005万元、一般性转移支付收入128409万元）,加调入资金41164万元（其中：国有资本经营收入调入226万元，政府性基金收入调入23000万元，盘活存量资金调入17938万元），加动用预算稳定调节资金2811万元，加省财政厅代理发行地方政府一般债券收入28713万元，加上年结余收入2395万元，收入合计323619万元（详见附件4）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一般公共预算支出305560万元, 加上解支出4761万元，加债务还本支出9915万元，加调出资金（一般公共预算收入超预算部分安排预算稳定调节基金）465万元，支出合计320701万元,收支相抵，年终滚存结余2918万元(其中结转下年支出2918万元)，当年一般公共预算收支平衡。</w:t>
      </w:r>
    </w:p>
    <w:p>
      <w:pPr>
        <w:spacing w:line="600" w:lineRule="exact"/>
        <w:ind w:firstLine="643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财政专户资金情况。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2021年末，县级财政专户资金余额25782万元，社保专户资金余额4079万元。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（二）政府性基金预算执行情况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2020年本级基金收入87088万元，完成调整预算的100%，同比增长52.1%；本级基金支出完成147224万元，完成调整预算的96.4%，同比增长129.7%。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级基金收入87088万元，加上级补助收入15769万元，加省财政厅代理发行地方政府专项债券收入71360万元，加上年基金结余11624万元，基金收入合计185841万元。本年基金支出147224万元，加上解支出1815万元，加债务还本支出7003万元，加调出基金23000万元，基金支出合计179042万元。收支相抵，年终滚存结余6799万元（详见附件6）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（三）国有资本经营收支预算执行情况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，我县国有企业实现经营利润收入226万元，加上级补助收入4万元，国有资本经营预算收入合计230万元。本级国有资本经营收入226万元全部调入一般公共预算用于转制企业社保、医保费及处置国有资产评估测绘费，上级补助收入4万元用于国有企业退休人员社会化管理相关支出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（四）社会保险基金预算执行情况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2020年全县社会保险基金收入82524万元，完成年初预算的128.3%。全县社会保险基金支出64216万元，完成年初预算的98.6%。以前年度社会保险基金收支结余29962万元，年末滚存结余48270万元（详见附件8）。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需要说明的是，以上数据均为财政决算批复前的数据，省财政批复决算后会有一定变化,将在2020年决算报告中予以反映。</w:t>
      </w:r>
    </w:p>
    <w:p>
      <w:pPr>
        <w:widowControl/>
        <w:spacing w:line="600" w:lineRule="exact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二、2020年财政主要工作及特点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26"/>
          <w:szCs w:val="26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（一）凝心聚力抓收入、争资金，着力提升财政供给能力。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加强收入形势分析研判，及时采取应对措施，对冲疫情影响，努力挖掘增收潜力，大力压减一般性支出，全力确保财政预算收支平衡。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圆满完成财政收入。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坚持依法依规组织收入，进一步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强化重点税源、重点项目税收监控，加大税收清欠力度，推进政府非税收入电子化改革，严格落实“收支两条线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管理规定，确保应收尽收。坚决克服疫情影响，全县财政总收入扭转三季度时负增长态势，全年完成13.61亿元的调整预算数，增长</w:t>
      </w:r>
      <w:r>
        <w:rPr>
          <w:rFonts w:hint="eastAsia" w:ascii="仿宋_GB2312" w:eastAsia="仿宋_GB2312"/>
          <w:spacing w:val="8"/>
          <w:kern w:val="0"/>
          <w:sz w:val="32"/>
          <w:szCs w:val="32"/>
        </w:rPr>
        <w:t>1.3%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。政府性基金收入完成8.71亿元，创历史最高。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着力争取财政资金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持把争取资金作为财政工作的重中之重，抢抓中央直达资金、抗疫特别国债、特殊转移支付、均衡性转移支付等政策机遇，紧盯政策动向和资金投向，多渠道争取财政性资金。2020年共争取上级财政补助资金29.42亿元，增长39.1%，其中包括抗疫特别国债在内的债券资金11.15亿元，较2019年增加7.61亿元，为全县经济社会发展提供了“粮草军需”。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三是积极落实节支措施。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坚持把过紧日子作为一项长期的方针政策，以政府支出的“减法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，换取民生支出的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加法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通过削减预算支出、调剂预算项目等方式，在年初预算压减10%的基础上，要求各部门单位全年一般性支出总额较2019年决算数压减15%以上。会议费、培训费等非刚性、非急需支出大幅削减，盘活财政存量资金1.79亿元。压减预算和盘活存量资金全部用于保障民生支出，有效缓解了财政支出压力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四是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持续推进财源培育。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坚持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财源建设和招商引资“一盘棋</w:t>
      </w:r>
      <w:r>
        <w:rPr>
          <w:rFonts w:hint="eastAsia" w:ascii="仿宋_GB2312" w:eastAsia="仿宋_GB2312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思想，筹措资金1293万元用于企业纳税奖励和新进规模企业奖励。全年纳税前10名企业中有4家新引进企业实现新增税收9300万元。拨付资金91万元用于奖励2019年度主攻工业、招商引资和争资争项先进单位及个人，进一步激发了全县上下培财引资的干劲与活力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（二）精准发力补短板、强弱项，有效保障和改善民生。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始终把保障和改善民生做为财政工作的出发点和落脚点，统筹中央直达资金等财力资源，优化支出结构，落实“三保</w:t>
      </w:r>
      <w:r>
        <w:rPr>
          <w:rFonts w:hint="eastAsia" w:ascii="仿宋_GB2312" w:eastAsia="仿宋_GB2312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责任，持续增进民生福祉。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全力确保脱贫攻坚。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持增加扶贫投入与提高资金使用效益并重，健全与脱贫攻坚任务相适应的投入保障机制。坚持可用财力向扶贫领域倾斜，2016年以来安排县本级财政专项扶贫资金1.13亿元（其中2020年3150万元），统筹整合财政涉农扶贫资金4.92亿元（其中2020年8001万元），并安排其他资金12.5亿元用于“两业”、社会保障、教育、医疗、易地扶贫搬迁、农村基础设施提升等，为脱贫攻坚提供了有力的资金保障。同时，贯彻落实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lang w:eastAsia="zh-CN"/>
        </w:rPr>
        <w:t>习近平</w:t>
      </w:r>
      <w:bookmarkStart w:id="0" w:name="_GoBack"/>
      <w:bookmarkEnd w:id="0"/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总书记关于“解决好贫困地区农畜产品卖难问题”的指示精神，全年通过扶贫832网站采购农副产品142万元，有效缓解了贫困户农副产品的滞销问题。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聚力保障民生支出。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落实社会保障政策，完善社会保障体系建设，及时足额拨付城乡居民养老保险3731万元、城乡居民医疗保险15123万元、职工医疗保险7303万元、失业保险20万元。连续16年提高机关事业退休人员待遇，拨付机关事业养老金及提标提补资金13190万元。做好城镇未参保人员及手工联社未参保人员生活补助发放，落实城乡居民基础养老金待遇。会同税务部门及经办机构制订完善全县医疗保险、机关事业单位养老保险基金、机关事业单位职业年金征收流程。落实卫生计生扶助政策，拨付计生奖扶资金168万元，拨付城镇居民独生子女父母奖励费182万元，拨付阳光助学金20万元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三是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加大社会公益投入。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坚持教育优先发展，全力保障教育经费投入，完成教育支出4.84亿元，增长6%。加大奖教奖学力度，聘请第三方机构动态监测和评估，提升教育教学质量。积极应对新冠疫情，全力保障医疗服务资金。拨付疫情防控资金3211万元用于疫情防控物资采购，社区工作人员、一线医务工作者及卡口人员疫情防控工作补贴等。拨付公共卫生服务资金1577万元。加强对乡村卫生机构改扩建项目建设，累计拨付资金526万元，有效提升了基层卫生机构医疗服务环境。持续加强环境治理财政投入，全年拨付环境治理资金1.6亿元，其中：土壤污染治理资金3168万元、水污染防治资金1.27亿元、大气治理资金145万元，生态环境优势进一步彰显，人民群众获得感进一步增强。</w:t>
      </w: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>四是支持社会管理创新。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拨付资金159万元，用于纵深推进扫黑除恶专项斗争，扫黑除恶满意度列省、市前列。全力落实人才财政投入政策，拨付人才发展资金2962万元用于人才教育科研、创业就业、人才保障房建设及高层次人才引进等方面。保障全县乡（镇）及村（社区）组织运行经费，全年拨付资金6275万元；落实机关事业单位工作人员考核奖励等政策，全年拨付资金5259万元（其中教师2659万元）；确保全县行政事业单位人员工资及时足额发放，全年拨付资金3亿元。此外，积极为县委巡察、乡镇综合便民服务中心建设、第七次全国人口普查、行政审批服务“一窗受理”、村（社区）“两委”换届等重点工作提供经费保障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（三）同心合力稳增长、防风险，全力助推经济高质量发展。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积极落实“六稳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六保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任务，支持建立与常态化疫情防控相适应的经济社会发展秩序。坚持底线思维，正确处理稳增长和防风险的关系，积极发挥财政职能作用，多措并举防控风险，确保经济运行保持在合理区间。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全力支持县域企业复工复产。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严格执行省“20条”、市“30条”、县“30条”措施，争取中央直达资金全面落实援企稳岗、保就业、保市场主体等惠企利民政策。全年拨付稳岗返还等就业相关补贴性政策资金4213万元，稳岗返还额度居全市首位。开展企业社会保险费“五免三减半”，减免三项社保费合计2570万元，有力支持了企业发展。开展职业技能提升行动，拨付职业技能提升行动资金505万元，培训农村转移劳动者、失业人员、建档立卡劳动者4331人次。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开辟政府采购绿色通道，急事急办、特事特办，及时采购医疗设备、民用防疫等应急物资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1028万元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，保障了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疫情防控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工作顺利开展，促进了企业尽快恢复生产。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大力推进涉农产业提档升级。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坚持创新驱动引领发展，完成科技支出6203万元，增长1.6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%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，其中县财政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R&amp;D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经费投入持续提高，有效促进了产学研用深度融合的技术创新体系构建。立足生态优势，始终把发展生态产业与脱贫攻坚相结合，落实产业扶贫“五个一”机制，先后投入3亿多元，重点扶持发展蔬菜、脐橙、油茶等主导产业和竹木、刺葡萄、茶叶、南酸枣等特色产业，同步推进传统种养、生态旅游、电商、光伏等生态产业，形成了一条传统与特色相结合的产业发展之路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三是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强力保障重点项目加快建设。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全面践行“绿水青山就是金山银山”的理念，全年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建成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绿色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标准厂房约20万平方米，投资2.9亿元完善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园区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基础设施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建设，园区承载功能明显增强。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投入5268万元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完成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14个老旧小区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改造，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建成15个智慧停车场，城区新增停车位2700余个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。投资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3.48亿元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实施阳明中学、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阳明幼儿园、明德幼儿园等43个校建项目，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告别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义务教育超大班额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历史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，极大改善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了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城乡办学条件。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投资1.2亿元建成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人民医院门（急）诊综合楼投入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使用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，感染性疾病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科用房、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中西医结合医院基本建成，医疗水平大幅提升。持续推进公路建设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“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三年行动计划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”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安排2492万元赣南等原中央苏区资金用于普通国省道和农村公路建设，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国道G220、省道S548等重点公路县域内全线建成通车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交通路网全面升级。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四是全面防范政府债务风险。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持续优化债务管理方式，积极稳妥化解债务。严格落实10年债务化解计划，紧盯年度化债目标，细化落实偿债资金。指导融资平台公司、企事业单位做好非政府性债务化解工作，确保全县分年度化债任务有序推进。坚持投融资规模控制，实行计划管理，统筹规划年度资金需求，做好资金平衡测算。依托地方政府性债务管理系统、财政部地方融资平台债务和政府中长期支出事项监测平台，每月进行全口径债务的统计汇总，加强监测预警，对化债工作实施动态管理。通过控制项目规模、调整支出结构、压缩公用经费、处置存量资产等方式多渠道筹措偿债资金，及时偿还和压缩债务规模，逐步降低债务风险，债务率继续控制在黄色安全区域，三年累计化解债务近13亿元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（四）持续用力促改革、强监管，努力打造法治财政。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全面推进依法理财，坚持用法治思维和法治方式指导工作实践，不断提升财政管理科学化、规范化、法治化水平。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微软雅黑" w:eastAsia="仿宋_GB2312" w:cs="宋体"/>
          <w:b/>
          <w:bCs/>
          <w:spacing w:val="8"/>
          <w:kern w:val="0"/>
          <w:sz w:val="32"/>
        </w:rPr>
        <w:t>深化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预算管理改革。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坚持依法理财，积极公开财政预决算信息，主动接受县人大依法监督、政协民主监督和社会各界广泛监督。坚持预算安排与执行、审计、绩效相挂钩，打破支出固化格局，优化资金配置。加强“三保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及刚性支出动态监控，严控财政暂付款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只减不增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，强化国库库款保障，确保财政正常运行。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二是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全面实施预算绩效管理。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制定《崇义县预算绩效管理暂行办法》，深入推进绩效目标审核、执行监控、绩效评价和结果运用等工作。实现绩效目标自评全覆盖，采取单位自评和财政重点评价相结合的方式，完成105个整体支出绩效目标单位的自评价金额7.81亿元，完成162个项目支出绩效目标评价金额3.42亿元。</w:t>
      </w:r>
      <w:r>
        <w:rPr>
          <w:rFonts w:hint="eastAsia" w:ascii="仿宋_GB2312" w:hAnsi="微软雅黑" w:eastAsia="仿宋_GB2312" w:cs="宋体"/>
          <w:b/>
          <w:spacing w:val="8"/>
          <w:kern w:val="0"/>
          <w:sz w:val="32"/>
          <w:szCs w:val="32"/>
        </w:rPr>
        <w:t>三是加强国有资产管理。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深化国有企业优化重组，组建“1+N”国有资本投资运营组织架构，通过并表整合充实资产，有效推动县属企业集团化发展，做大资产规模。出台《崇义县属国有企业改革和重组实施方案》、《崇义县属国有企业机构设置和定岗定员管理办法》，核定9个县属国有企业具体机构和人员“三定”方案，实行总额管理、定岗定员。核减内设机构19个、人员190名，每年直接节约人员工资支出约1140万元，通过精简部门、人员，有效解决了机构臃肿、人浮于事等问题。</w:t>
      </w:r>
      <w:r>
        <w:rPr>
          <w:rFonts w:hint="eastAsia" w:ascii="仿宋_GB2312" w:hAnsi="微软雅黑" w:eastAsia="仿宋_GB2312" w:cs="宋体"/>
          <w:b/>
          <w:bCs/>
          <w:kern w:val="0"/>
          <w:sz w:val="32"/>
        </w:rPr>
        <w:t>四是严格财政监督管理。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依托中央财政扶贫资金动态监控平台，对财政涉农扶贫资金、中央直达资金实行动态监控，建立资金台账，关联支付信息，全程跟踪监督，确保财政资金精准分配、规范使用。督促指导行政事业单位完善内控制度建设，组织开展会计法规执行情况执法检查和会计信息质量专项检查，规范会计执业行为。加强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政府综合财务编报，全面准确反映政府资产、负债情况，深化财政体制改革。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体来看，2020年我县财政工作取得了一定成绩。但同时我们也清醒的认识到，财政运行中还存在一些亟待破解的难题，主要表现在：收入增速放缓期、政府偿债高峰期、土地市场回落期“三期叠加”；受外部环境以及疫情影响，县域优质税源增长亮点不多，增收不增财力现象依然存在；急剧增长的刚性支出需求和可用财力增长有限的矛盾更加突出，财政风险依然较大；牢牢守住不发生系统性金融风险和“三保”支出不断链的底线压力进一步加大；部分单位绩效意识不强，财务管理较为粗放，预算执行与资金安排不匹配，“钱等项目”频现，预算绩效刚性约束作用有待加强。对此，我们将高度重视，进一步强化问题导向，认真听取各位代表、委员意见，认真分析原因，采取有效措施，努力加以改进和解决。</w:t>
      </w:r>
    </w:p>
    <w:p>
      <w:pPr>
        <w:pStyle w:val="11"/>
        <w:spacing w:line="600" w:lineRule="exact"/>
        <w:ind w:firstLine="643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三、2021年财政收支预算草案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收入预算的编制,严格按预算法规定，遵循零基预算、统筹兼顾、有保有压、绩效优先的原则。但由于2021年国内外经济发展环境依然复杂严峻，常态化疫情防控影响难以估量，经济下行压力大，经济发展困难、风险、不确定因素增多，所以今年收入预算的完成仍然存在很多不确定因素。支出预算的编制，按照体现新常态下经济社会发展的最新要求，体现高质量发展的目标导向，体现将“三保”支出放在优先保障地位，体现政府过紧日子、人民过好日子的编制原则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（一）一般公共预算收支预算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全县财政总收入预算安排145000万元（详见附件3），比2020年完成数增加8909万元，同比增长6.5％，税性比为80%，其中：税务部门115500万元，比2020年完成数增加18900万元，同比增长19.6%；财政部门29500万元，比2020年完成数减少9991万元，同比下降25.3%。一般公共预算收入安排90727万元，同比下降3.1％，考虑调整省与市县收入划分改革因素，同口径增长4.5%。主要收入项目（地方部分）的预算安排情况是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工商各税40627万元，农业税收17126万元，企业所得税3474万元，罚没及规费收入13800万元，国有资产有偿使用收入13270万元,专项收入1700万元，政府住房基金收入730万元。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90727万元，加上预计税收返还、提前下达的上级专项转移支付收入及一般性转移支付收入104841万元，加调入资金20100万元（其中：国有资本经营收入调入100万元，政府性基金收入调入20000万元），加动用预算稳定调节基金465万元，加上年结余2918万元；减去预计上解支出3792万元， 2021年县级总财力预计为215259万元（详见附件4），支出预算安排为215259万元（详见附件5）。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（二）政府性基金收支预算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政府性基金收入预算安排87300万元（详见附件6），主要收入项目安排是：福利彩票公益金收入100万元，体育彩票公益金收入100万元，国有土地收益基金收入4355万元，农业土地开发资金收入102万元，国有土地使用权出让收入82643万元。当年基金收入87300万元，加上级补助收入2123万元，加上年基金结余6799万元，基金总收入96222万元；减去预计上解支出1653万元，减去调出基金20000万元，基金支出预算安排71923万元，基金结余2646万元。基金主要支出项目是：彩票事务支出2330万元，国有土地使用权出让收入安排的支出62928万元，国有土地收益基金支出4355万元，农业土地开发资金收入安排的支出102万元，大中型水库移民后期扶持基金支出2123万元，债务付息及发行费用支出85万元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（三）国有资本经营收支预算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安排国有资本经营预算企业利润收入100万元（其中：林股公司利润收入70万元，国盛公司利润收入30万元）。安排的国有资本经营预算企业利润收入全部调入一般公共预算，用于安排转制企业社保、医保费（详见附件7）。</w:t>
      </w:r>
    </w:p>
    <w:p>
      <w:pPr>
        <w:widowControl/>
        <w:spacing w:line="600" w:lineRule="exact"/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（四）社会保险基金收支预算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2021年社会保险基金收入预算安排21733万元（详见附件8），主要收入项目安排是：基本养老保险基金21367万元，失业保险基金366万元。当年社会保险基金收入21733万元，加上年社保基金结余16737万元，社会保险基金总收入38470万元，基金支出预算安排18698万元，社保基金结余19772万元。基金主要支出项目是：基本养老保险基金支出18406万元，失业保险基金292万元。</w:t>
      </w:r>
    </w:p>
    <w:p>
      <w:pPr>
        <w:spacing w:line="600" w:lineRule="exact"/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四、2021年财政主要工作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（一）积极组织收入，在提升财政综合实力上实现新突破。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始终坚守组织收入原则和依法征管底线，全面落实各级关于减税降费的一揽子惠企利民政策，切实完善综合治税体系，健全税收征管机制，严防“跑、冒、滴、漏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。对重点税源企业加强跟踪服务，稳定和拓展基础税源。积极挖掘非税收入潜力，多渠道增加财政收入，全力确保</w:t>
      </w:r>
      <w:r>
        <w:rPr>
          <w:rFonts w:hint="eastAsia" w:ascii="仿宋_GB2312" w:eastAsia="仿宋_GB2312"/>
          <w:sz w:val="32"/>
          <w:szCs w:val="32"/>
        </w:rPr>
        <w:t>省与市县收入划分改革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后我县财政收入平稳增长。拓宽生财聚财渠道，统筹做好均衡性转移支付、县级基本财力保障、国家重点生态功能区转移支付等资金争取工作，用足用好城乡建设用地增减挂钩收益政策。抢抓全市打造对接融入粤港澳大湾区桥头堡、省域副中心城市建设、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十四五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规划编制、乡村振兴等重大战略机遇，精准把握财政资金投向，做好项目储备，积极申报争取中央和省预算内投资、新增地方政府债券等资金。围绕有色金属、高岭土、竹木、茶叶、南酸枣等特色优势产业，落实各项优惠政策，支持招商引资企业发展。发展一批行业“小巨人”、高新技术企业和“专精特新”企业，努力培育财政收入新的增长极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（二）坚持理财为民，在保障和改善民生上达到新水平。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加强“三保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和刚性支出运行监测，切实履行保基本民生、保工资发放和保机构运转的主体责任，兜牢“三保”底线。支持落实政府民生实事，统筹就业补助、困难群众救助、医疗救助等资金，全力落实就业创业和民政兜底保障的各项政策措施。足额落实社会保险基金各级财政补助资金，筹措资金7256万元保障机关事业单位退休人员养老金发放及职业年金缴费。预留人均普调工资资金3300万元，预留中小学幼儿园教师奖励性工资2768万元。支持教育发展投入，教育支出预算安排占财政总支出的比重达17.2%。改善农村治安管理薄弱状况，安排一村一辅警经费296万元，足额保障应急处突救援、政府专职消防员经费，推进平安崇义建设。强化疫情防控、基本公共卫生和公立医院改革经费保障，安排乡村级医疗机构基础设施建设和配齐更新医疗设备资金180万元。安排乡镇卫生院单位应负担部分养老保险存量债务化解经费550万元，乡镇卫生院人员全额纳入财政保障，极大减轻了基层医疗卫生机构压力，解决了基层医疗工作者后顾之忧，助其“轻装上阵”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（三）聚焦乡村振兴，在助推经济高质量发展上开启新征程。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积极做好脱贫攻坚与乡村振兴战略之间财政政策的衔接，建立财政涉农资金统筹整合长效机制，引导项目、资金和资源向巩固拓展脱贫攻坚成果倾斜。协调指导各银行机构继续保持农业产业振兴政策的稳定性和持续性，对符合条件、有发展生产意愿的建档立卡脱贫户和边缘户应贷尽贷。筹集乡村振兴战略经费4600万元，</w:t>
      </w:r>
      <w:r>
        <w:rPr>
          <w:rFonts w:hint="eastAsia" w:eastAsia="仿宋_GB2312" w:cs="仿宋_GB2312"/>
          <w:sz w:val="32"/>
          <w:szCs w:val="32"/>
        </w:rPr>
        <w:t>加快建立乡村振兴工作推进机制。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探索乡村振兴投融资新模式，鼓励支持国盛公司参与土地开发、乡村公路工程、水利设施、环境整治、农业开发等项目，使其在服务县域经济社会发展、推动乡村振兴中发挥更大作用。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持续统筹整合财政涉农资金，进一步优化资金投向结构，支持培育龙头企业、家庭农场和专业合作社等新型经营主体。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把“三农”工作摆在重中之重的位置，以农业特色产业发展、新型城镇化示范乡镇和美丽乡村建设为重点，安排农村农业发展资金543万元、农村环境整治经费1100万元，稳步推进乡村振兴。巩固农村集体产权制度改革，提升村级股份经济合作社的运营水平，发展新型农村集体经济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（四）强化风险管控，在落实重大风险防范责任上展现新作为。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严格政府债务预算管理，安排资金3.84亿元，将还本付息资金纳入财政预算足额保障。做实隐性债务化解措施，确保全县政府隐性债务按计划在10年内化解完毕。坚持量力而行，用好政府债务限额空间，合理申报使用新增地方政府债券和再融资债券资金，缓解预算收支和债务还本付息压力，严防出现突发性政府债务危机。将债券管理由注重前期的“借、用”向“借、用、管、还”并重转变，严防偿付风险，确保到期偿还。严格落实地方政府债务全口径监测要求，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控源头、强监督、严问责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三措并举，完善统计监测、风险预警和问责机制，严密管控隐性债务，坚决杜绝债务增量。推进平台转型发展，做好经营性资产清查，加快完成经营性资产统一集中管理，通过打造经营板块、做大资产盘子、做活经营收入、提升信用等级，逐步实现国有企业“去平台、市场化”，助推经济高质量发展。进一步加强信贷通贷款逾期管理，及时采取分类处置措施依法进行清收，坚决防止金融风险演化为财政风险。</w:t>
      </w:r>
    </w:p>
    <w:p>
      <w:pPr>
        <w:widowControl/>
        <w:spacing w:line="600" w:lineRule="exact"/>
        <w:ind w:firstLine="645"/>
        <w:rPr>
          <w:rFonts w:ascii="仿宋_GB2312" w:hAnsi="微软雅黑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（五）突出提质增效，在深化财政管理改革上迈上新台阶。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坚决落实好“过紧日子”的要求，比照省、市做法常态化压减一般性支出，持续压减非急需、非刚性支出，确保“三公经费”以及会议费、培训费等支出“只减不增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加大盘活使用部门净结余和沉淀存量资金力度，缓解预算收支矛盾。全力构建全过程预算绩效管理机制，加强事前绩效目标审核、事中执行监控和事后绩效评价工作，注重绩效评价结果运用。加快预算管理一体化建设，提高预算管理规范化水平。做好直达资金监管，强化财政预算执行动态监控。推进政府采购制度改革，提高采购质效。加强行政事业单位内控信息化管理指导，规范国有资产管理，推进党政机关和事业单位经营性国有资产集中统一监管。强化对各类民生项目政策落实和预算执行情况的跟踪监督，促进资金安全运行、规范使用、提质增效。严格执行《预算法》和《预算法实施条例》，强化预算刚性约束，加快建立现代预算制度。积极对接中央与地方财政事权和支出责任划分改革，力争我县在新一轮改革中能够享受更大的政策红利。</w:t>
      </w:r>
    </w:p>
    <w:p>
      <w:pPr>
        <w:widowControl/>
        <w:spacing w:line="600" w:lineRule="exact"/>
        <w:ind w:firstLine="645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各位代表，做好2021年财政工作任务仍然十分艰巨，我们将始终坚持以习近平新时代中国特色社会主义思想为指引，树牢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四个意识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，坚定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四个自信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，做到</w:t>
      </w:r>
      <w:r>
        <w:rPr>
          <w:rFonts w:eastAsia="微软雅黑"/>
          <w:spacing w:val="8"/>
          <w:kern w:val="0"/>
          <w:sz w:val="32"/>
          <w:szCs w:val="32"/>
        </w:rPr>
        <w:t>“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两个维护</w:t>
      </w:r>
      <w:r>
        <w:rPr>
          <w:rFonts w:eastAsia="微软雅黑"/>
          <w:spacing w:val="8"/>
          <w:kern w:val="0"/>
          <w:sz w:val="32"/>
          <w:szCs w:val="32"/>
        </w:rPr>
        <w:t>”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。在县委的坚强领导下，在县人大、政协的监督指导下，认真落实本次会议确定的各项目标任务，迎难而上、真抓实干，努力开创新时代财政改革发展新局面，为奋力开创崇义高质量跨越式发展新局面提供坚实财政保障，确保“十四五”开好局，以优异的成绩庆祝建党100周年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附件：1.崇义县2020年一般公共预算收入完成情况表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2.崇义县2020年一般公共预算支出完成情况表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3.崇义县2021年一般公共预算收入安排表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4.崇义县2021年一般公共预算财力计算表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5.崇义县2021年一般公共预算支出安排表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崇义县2021年政府性基金收支预算安排表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7.崇义县2021年国有资本经营收支预算安排表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崇义县2021年社会保险基金收支预算安排表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600" w:lineRule="atLeast"/>
        <w:rPr>
          <w:rFonts w:eastAsia="仿宋_GB2312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县十八届人大七次会议秘书处           2021年2月**日印</w:t>
      </w:r>
    </w:p>
    <w:p>
      <w:pPr>
        <w:spacing w:line="440" w:lineRule="exact"/>
        <w:jc w:val="right"/>
        <w:rPr>
          <w:rFonts w:asciiTheme="minorEastAsia" w:hAnsiTheme="minorEastAsia" w:eastAsiaTheme="minorEastAsia" w:cstheme="minorEastAsia"/>
        </w:rPr>
      </w:pPr>
      <w:r>
        <w:rPr>
          <w:rFonts w:hint="eastAsia" w:ascii="仿宋_GB2312" w:hAnsi="Calibri" w:eastAsia="仿宋_GB2312"/>
          <w:sz w:val="32"/>
          <w:szCs w:val="32"/>
        </w:rPr>
        <w:t>共印***份</w:t>
      </w:r>
    </w:p>
    <w:sectPr>
      <w:footerReference r:id="rId3" w:type="default"/>
      <w:footerReference r:id="rId4" w:type="even"/>
      <w:pgSz w:w="11906" w:h="16838"/>
      <w:pgMar w:top="2098" w:right="1587" w:bottom="1984" w:left="1587" w:header="850" w:footer="1417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1" o:spid="_x0000_s2050" o:spt="1" style="position:absolute;left:0pt;margin-top:-0.5pt;height:18.15pt;width:66.5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QnpnNcAAAAJ&#10;AQAADwAAAGRycy9kb3ducmV2LnhtbE2PzU7DMBCE70i8g7WVuLV2UgVCiNMDUiVAXJryAG68+VHt&#10;dWS7TXl7zAmOoxnNfFPvbtawK/owOZKQbQQwpM7piQYJX8f9ugQWoiKtjCOU8I0Bds39Xa0q7RY6&#10;4LWNA0slFColYYxxrjgP3YhWhY2bkZLXO29VTNIPXHu1pHJreC7EI7dqorQwqhlfR+zO7cVK4Md2&#10;v5St8cJ95P2neX879OikfFhl4gVYxFv8C8MvfkKHJjGd3IV0YEbCU5En9ChhnaVPKVCWxTOwk4Rt&#10;sQXe1Pz/g+YHUEsDBBQAAAAIAIdO4kAZkRjHrAEAAD4DAAAOAAAAZHJzL2Uyb0RvYy54bWytUktu&#10;2zAQ3RfoHQjua8pOXRiC5aBAkKJAkAZIewCaIi0C/GFIW/IFkhtk1U33OZfPkSEtO027K7qhhsPR&#10;m/fezPJysIbsJETtXUOnk4oS6YRvtds09Mf36w8LSmLiruXGO9nQvYz0cvX+3bIPtZz5zptWAkEQ&#10;F+s+NLRLKdSMRdFJy+PEB+nwUXmwPOEVNqwF3iO6NWxWVZ9Y76EN4IWMEbNXx0e6KvhKSZG+KRVl&#10;IqahyC2VE8q5zidbLXm9AR46LUYa/B9YWK4dNj1DXfHEyRb0X1BWC/DRqzQR3jKvlBayaEA10+oP&#10;NfcdD7JoQXNiONsU/x+suN3dAdFtQy8ocdziiA5Pj4efz4dfD9PsTh9ijUX34Q7GW8QwSx0U2PxF&#10;EWQoju7PjsohEYHJxcf5dDGnRODT7KKaV/OMyV5/DhDTF+ktyUFDAQdWfOS7m5iOpaeS3Mv5a20M&#10;5nlt3JsEYuYMy3yPDHOUhvUw0l77do9Se5x1Qx0uIyXmq0Mr81qcAjgF61OwDaA3Xdmb3C+Gz9uE&#10;JAq33OEIOzbGIRV140LlLfj9Xqpe1371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0J6ZzXAAAA&#10;CQEAAA8AAAAAAAAAAQAgAAAAIgAAAGRycy9kb3ducmV2LnhtbFBLAQIUABQAAAAIAIdO4kAZkRjH&#10;rAEAAD4DAAAOAAAAAAAAAAEAIAAAACYBAABkcnMvZTJvRG9jLnhtbFBLBQYAAAAABgAGAFkBAABE&#10;BQAAAAA=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　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20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　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仿宋_GB2312" w:eastAsia="仿宋_GB2312"/>
                    <w:sz w:val="28"/>
                    <w:szCs w:val="28"/>
                  </w:rPr>
                  <w:t>7</w:t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 w:ascii="仿宋_GB2312" w:eastAsia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0"/>
  <w:drawingGridVerticalSpacing w:val="158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1NGFiN2I5ZTM5MTJlZjIyMDNjYjYyMTg1ZGMxNmEifQ=="/>
  </w:docVars>
  <w:rsids>
    <w:rsidRoot w:val="00A37369"/>
    <w:rsid w:val="00000DE5"/>
    <w:rsid w:val="00002537"/>
    <w:rsid w:val="00002745"/>
    <w:rsid w:val="00006798"/>
    <w:rsid w:val="000077DC"/>
    <w:rsid w:val="00012114"/>
    <w:rsid w:val="00015D9B"/>
    <w:rsid w:val="000211CA"/>
    <w:rsid w:val="00021697"/>
    <w:rsid w:val="000228A8"/>
    <w:rsid w:val="000258BC"/>
    <w:rsid w:val="00040E35"/>
    <w:rsid w:val="00045AE6"/>
    <w:rsid w:val="0004604F"/>
    <w:rsid w:val="00050780"/>
    <w:rsid w:val="00051E80"/>
    <w:rsid w:val="00061EBF"/>
    <w:rsid w:val="00062272"/>
    <w:rsid w:val="000741A7"/>
    <w:rsid w:val="0007438F"/>
    <w:rsid w:val="00075A32"/>
    <w:rsid w:val="00077268"/>
    <w:rsid w:val="00080A50"/>
    <w:rsid w:val="0008112B"/>
    <w:rsid w:val="00083937"/>
    <w:rsid w:val="00090125"/>
    <w:rsid w:val="000920F7"/>
    <w:rsid w:val="0009561F"/>
    <w:rsid w:val="00095AFA"/>
    <w:rsid w:val="00097168"/>
    <w:rsid w:val="00097AC9"/>
    <w:rsid w:val="000A0C0A"/>
    <w:rsid w:val="000A194C"/>
    <w:rsid w:val="000B02EB"/>
    <w:rsid w:val="000B0E59"/>
    <w:rsid w:val="000B19BA"/>
    <w:rsid w:val="000B3FB4"/>
    <w:rsid w:val="000B672B"/>
    <w:rsid w:val="000B7816"/>
    <w:rsid w:val="000C6184"/>
    <w:rsid w:val="000D42A5"/>
    <w:rsid w:val="000D63DB"/>
    <w:rsid w:val="000E412B"/>
    <w:rsid w:val="000E43B4"/>
    <w:rsid w:val="000E6B4F"/>
    <w:rsid w:val="000F1999"/>
    <w:rsid w:val="000F20BE"/>
    <w:rsid w:val="0010225B"/>
    <w:rsid w:val="00106BE1"/>
    <w:rsid w:val="00107FCD"/>
    <w:rsid w:val="00126F61"/>
    <w:rsid w:val="00133CE3"/>
    <w:rsid w:val="00135998"/>
    <w:rsid w:val="00136800"/>
    <w:rsid w:val="00140E9E"/>
    <w:rsid w:val="0014724E"/>
    <w:rsid w:val="00152320"/>
    <w:rsid w:val="00156C6F"/>
    <w:rsid w:val="001617CA"/>
    <w:rsid w:val="00162109"/>
    <w:rsid w:val="00165AC7"/>
    <w:rsid w:val="00173F6D"/>
    <w:rsid w:val="00181084"/>
    <w:rsid w:val="00181D84"/>
    <w:rsid w:val="00192E6D"/>
    <w:rsid w:val="001930EF"/>
    <w:rsid w:val="00195FC6"/>
    <w:rsid w:val="001A271C"/>
    <w:rsid w:val="001B3588"/>
    <w:rsid w:val="001B49EB"/>
    <w:rsid w:val="001C7894"/>
    <w:rsid w:val="001D241E"/>
    <w:rsid w:val="001E1CCE"/>
    <w:rsid w:val="001E1DA5"/>
    <w:rsid w:val="00204BCE"/>
    <w:rsid w:val="002050AE"/>
    <w:rsid w:val="0020765E"/>
    <w:rsid w:val="0021366D"/>
    <w:rsid w:val="0021411E"/>
    <w:rsid w:val="0021537F"/>
    <w:rsid w:val="00217E24"/>
    <w:rsid w:val="00221908"/>
    <w:rsid w:val="00227593"/>
    <w:rsid w:val="00230899"/>
    <w:rsid w:val="0023304B"/>
    <w:rsid w:val="00233DC2"/>
    <w:rsid w:val="0023432D"/>
    <w:rsid w:val="00234402"/>
    <w:rsid w:val="00234FE3"/>
    <w:rsid w:val="002370B3"/>
    <w:rsid w:val="002413B3"/>
    <w:rsid w:val="00241E67"/>
    <w:rsid w:val="00246BF3"/>
    <w:rsid w:val="00250461"/>
    <w:rsid w:val="002556F4"/>
    <w:rsid w:val="00260119"/>
    <w:rsid w:val="00260F63"/>
    <w:rsid w:val="00261E90"/>
    <w:rsid w:val="00264666"/>
    <w:rsid w:val="00270377"/>
    <w:rsid w:val="00274EED"/>
    <w:rsid w:val="0028113E"/>
    <w:rsid w:val="00285805"/>
    <w:rsid w:val="00292840"/>
    <w:rsid w:val="00294AB6"/>
    <w:rsid w:val="002A3B20"/>
    <w:rsid w:val="002A498D"/>
    <w:rsid w:val="002A49A5"/>
    <w:rsid w:val="002B10B9"/>
    <w:rsid w:val="002B4E33"/>
    <w:rsid w:val="002B7863"/>
    <w:rsid w:val="002C114E"/>
    <w:rsid w:val="002C4BE1"/>
    <w:rsid w:val="002C660B"/>
    <w:rsid w:val="002D2946"/>
    <w:rsid w:val="002D452F"/>
    <w:rsid w:val="002D685C"/>
    <w:rsid w:val="002E1619"/>
    <w:rsid w:val="002E18A1"/>
    <w:rsid w:val="002E6F76"/>
    <w:rsid w:val="002F48A1"/>
    <w:rsid w:val="002F5D6D"/>
    <w:rsid w:val="002F5F98"/>
    <w:rsid w:val="00300153"/>
    <w:rsid w:val="003018AF"/>
    <w:rsid w:val="0030430F"/>
    <w:rsid w:val="00304DAD"/>
    <w:rsid w:val="00315D30"/>
    <w:rsid w:val="00316123"/>
    <w:rsid w:val="00317F87"/>
    <w:rsid w:val="003246F6"/>
    <w:rsid w:val="003258C6"/>
    <w:rsid w:val="0032620F"/>
    <w:rsid w:val="003266B2"/>
    <w:rsid w:val="00327696"/>
    <w:rsid w:val="00327D87"/>
    <w:rsid w:val="00332222"/>
    <w:rsid w:val="00334180"/>
    <w:rsid w:val="00334A55"/>
    <w:rsid w:val="00336379"/>
    <w:rsid w:val="00337604"/>
    <w:rsid w:val="003437FA"/>
    <w:rsid w:val="00345DB5"/>
    <w:rsid w:val="0035148D"/>
    <w:rsid w:val="00351D1B"/>
    <w:rsid w:val="00362464"/>
    <w:rsid w:val="00363109"/>
    <w:rsid w:val="00364B4B"/>
    <w:rsid w:val="00365556"/>
    <w:rsid w:val="003670A8"/>
    <w:rsid w:val="00372C48"/>
    <w:rsid w:val="00375059"/>
    <w:rsid w:val="00377D43"/>
    <w:rsid w:val="00383676"/>
    <w:rsid w:val="00385A2D"/>
    <w:rsid w:val="003872CA"/>
    <w:rsid w:val="00390AC1"/>
    <w:rsid w:val="0039538C"/>
    <w:rsid w:val="00396C93"/>
    <w:rsid w:val="003972AA"/>
    <w:rsid w:val="003A1BAE"/>
    <w:rsid w:val="003A1EBD"/>
    <w:rsid w:val="003A570B"/>
    <w:rsid w:val="003B4422"/>
    <w:rsid w:val="003B50E9"/>
    <w:rsid w:val="003D2BCB"/>
    <w:rsid w:val="003D6146"/>
    <w:rsid w:val="003F0B8F"/>
    <w:rsid w:val="003F2BDA"/>
    <w:rsid w:val="003F3FCF"/>
    <w:rsid w:val="003F4A12"/>
    <w:rsid w:val="003F52AF"/>
    <w:rsid w:val="003F5642"/>
    <w:rsid w:val="00403FB9"/>
    <w:rsid w:val="00405D37"/>
    <w:rsid w:val="004102D5"/>
    <w:rsid w:val="004126D6"/>
    <w:rsid w:val="0041317B"/>
    <w:rsid w:val="00414D4A"/>
    <w:rsid w:val="00416F6D"/>
    <w:rsid w:val="00417183"/>
    <w:rsid w:val="004171F0"/>
    <w:rsid w:val="004176FE"/>
    <w:rsid w:val="0042295B"/>
    <w:rsid w:val="00423A5C"/>
    <w:rsid w:val="00425C36"/>
    <w:rsid w:val="00425C90"/>
    <w:rsid w:val="00434504"/>
    <w:rsid w:val="004350D3"/>
    <w:rsid w:val="0043694B"/>
    <w:rsid w:val="00442C80"/>
    <w:rsid w:val="00444AFF"/>
    <w:rsid w:val="00446EC1"/>
    <w:rsid w:val="00450A50"/>
    <w:rsid w:val="00451BC4"/>
    <w:rsid w:val="00454F81"/>
    <w:rsid w:val="004562CC"/>
    <w:rsid w:val="00457B0F"/>
    <w:rsid w:val="00462AAC"/>
    <w:rsid w:val="0047319A"/>
    <w:rsid w:val="004759ED"/>
    <w:rsid w:val="004822C8"/>
    <w:rsid w:val="00486B3D"/>
    <w:rsid w:val="00493670"/>
    <w:rsid w:val="00495A5B"/>
    <w:rsid w:val="004A1C7E"/>
    <w:rsid w:val="004A6E41"/>
    <w:rsid w:val="004B195C"/>
    <w:rsid w:val="004B2CFF"/>
    <w:rsid w:val="004B3699"/>
    <w:rsid w:val="004B4526"/>
    <w:rsid w:val="004B603E"/>
    <w:rsid w:val="004C186C"/>
    <w:rsid w:val="004C238B"/>
    <w:rsid w:val="004C6927"/>
    <w:rsid w:val="004D19FA"/>
    <w:rsid w:val="004D1CD1"/>
    <w:rsid w:val="004D337E"/>
    <w:rsid w:val="004D36B0"/>
    <w:rsid w:val="004D5FBC"/>
    <w:rsid w:val="004E2670"/>
    <w:rsid w:val="004E5E36"/>
    <w:rsid w:val="004F07EF"/>
    <w:rsid w:val="004F36DF"/>
    <w:rsid w:val="004F4CE5"/>
    <w:rsid w:val="0050068E"/>
    <w:rsid w:val="00503803"/>
    <w:rsid w:val="00506F79"/>
    <w:rsid w:val="005102F1"/>
    <w:rsid w:val="0051137B"/>
    <w:rsid w:val="005113BA"/>
    <w:rsid w:val="00513972"/>
    <w:rsid w:val="00513E76"/>
    <w:rsid w:val="005142FC"/>
    <w:rsid w:val="00514CA8"/>
    <w:rsid w:val="00520AC2"/>
    <w:rsid w:val="00520E6D"/>
    <w:rsid w:val="0052207B"/>
    <w:rsid w:val="00523E62"/>
    <w:rsid w:val="00530B21"/>
    <w:rsid w:val="005310F8"/>
    <w:rsid w:val="00535A67"/>
    <w:rsid w:val="005376BC"/>
    <w:rsid w:val="005377C3"/>
    <w:rsid w:val="005448BD"/>
    <w:rsid w:val="00545027"/>
    <w:rsid w:val="00545B87"/>
    <w:rsid w:val="0054704D"/>
    <w:rsid w:val="00554498"/>
    <w:rsid w:val="00555295"/>
    <w:rsid w:val="00556849"/>
    <w:rsid w:val="0056436C"/>
    <w:rsid w:val="005654D9"/>
    <w:rsid w:val="0056584B"/>
    <w:rsid w:val="00566C2D"/>
    <w:rsid w:val="00570517"/>
    <w:rsid w:val="005810CE"/>
    <w:rsid w:val="00582C84"/>
    <w:rsid w:val="00583F01"/>
    <w:rsid w:val="00595067"/>
    <w:rsid w:val="005B4150"/>
    <w:rsid w:val="005B504A"/>
    <w:rsid w:val="005B519B"/>
    <w:rsid w:val="005C2D34"/>
    <w:rsid w:val="005C4E2C"/>
    <w:rsid w:val="005E1F29"/>
    <w:rsid w:val="005E3841"/>
    <w:rsid w:val="005E44F5"/>
    <w:rsid w:val="005F63DA"/>
    <w:rsid w:val="005F6C2C"/>
    <w:rsid w:val="00600DA5"/>
    <w:rsid w:val="006030B6"/>
    <w:rsid w:val="006055D5"/>
    <w:rsid w:val="00607D0F"/>
    <w:rsid w:val="006118C3"/>
    <w:rsid w:val="006123B9"/>
    <w:rsid w:val="00620240"/>
    <w:rsid w:val="006208E7"/>
    <w:rsid w:val="00621D23"/>
    <w:rsid w:val="0062303D"/>
    <w:rsid w:val="006277A3"/>
    <w:rsid w:val="006402BA"/>
    <w:rsid w:val="006405C9"/>
    <w:rsid w:val="00640A77"/>
    <w:rsid w:val="00647A2C"/>
    <w:rsid w:val="00651F57"/>
    <w:rsid w:val="00665C1A"/>
    <w:rsid w:val="00674A6A"/>
    <w:rsid w:val="00675144"/>
    <w:rsid w:val="006778AF"/>
    <w:rsid w:val="00680D8B"/>
    <w:rsid w:val="00681EA6"/>
    <w:rsid w:val="006829DA"/>
    <w:rsid w:val="00686445"/>
    <w:rsid w:val="00687ACD"/>
    <w:rsid w:val="006905EC"/>
    <w:rsid w:val="00694F1F"/>
    <w:rsid w:val="006A5126"/>
    <w:rsid w:val="006A5873"/>
    <w:rsid w:val="006A58E5"/>
    <w:rsid w:val="006A7AF7"/>
    <w:rsid w:val="006B3CB4"/>
    <w:rsid w:val="006B5D6C"/>
    <w:rsid w:val="006C0246"/>
    <w:rsid w:val="006D2233"/>
    <w:rsid w:val="006D3730"/>
    <w:rsid w:val="006D4CBB"/>
    <w:rsid w:val="006E16AB"/>
    <w:rsid w:val="006E7A42"/>
    <w:rsid w:val="006F0A87"/>
    <w:rsid w:val="006F2D24"/>
    <w:rsid w:val="006F3E99"/>
    <w:rsid w:val="006F5206"/>
    <w:rsid w:val="006F5F60"/>
    <w:rsid w:val="007001CF"/>
    <w:rsid w:val="00705EBD"/>
    <w:rsid w:val="0070712D"/>
    <w:rsid w:val="007116FF"/>
    <w:rsid w:val="00712D4E"/>
    <w:rsid w:val="00713E9E"/>
    <w:rsid w:val="00717854"/>
    <w:rsid w:val="007210B4"/>
    <w:rsid w:val="00722C36"/>
    <w:rsid w:val="00727C8F"/>
    <w:rsid w:val="00736774"/>
    <w:rsid w:val="0074326D"/>
    <w:rsid w:val="00743BB0"/>
    <w:rsid w:val="00751C84"/>
    <w:rsid w:val="007545ED"/>
    <w:rsid w:val="00756AF9"/>
    <w:rsid w:val="007573D6"/>
    <w:rsid w:val="00760FC1"/>
    <w:rsid w:val="00762082"/>
    <w:rsid w:val="00763729"/>
    <w:rsid w:val="007718FB"/>
    <w:rsid w:val="0077422D"/>
    <w:rsid w:val="007804FE"/>
    <w:rsid w:val="007818F9"/>
    <w:rsid w:val="0078426D"/>
    <w:rsid w:val="007873B7"/>
    <w:rsid w:val="007901D1"/>
    <w:rsid w:val="00794A57"/>
    <w:rsid w:val="00795B52"/>
    <w:rsid w:val="00797C25"/>
    <w:rsid w:val="007A05BF"/>
    <w:rsid w:val="007A3FF9"/>
    <w:rsid w:val="007A4851"/>
    <w:rsid w:val="007A7EA3"/>
    <w:rsid w:val="007C7A99"/>
    <w:rsid w:val="007D39EC"/>
    <w:rsid w:val="007D3F16"/>
    <w:rsid w:val="007D4A47"/>
    <w:rsid w:val="007F0828"/>
    <w:rsid w:val="007F3FE3"/>
    <w:rsid w:val="00800CC5"/>
    <w:rsid w:val="008017E9"/>
    <w:rsid w:val="00805268"/>
    <w:rsid w:val="00812B85"/>
    <w:rsid w:val="00823143"/>
    <w:rsid w:val="0082613E"/>
    <w:rsid w:val="008307D6"/>
    <w:rsid w:val="00831384"/>
    <w:rsid w:val="008415A3"/>
    <w:rsid w:val="00841A65"/>
    <w:rsid w:val="00846F54"/>
    <w:rsid w:val="0084724F"/>
    <w:rsid w:val="00855C99"/>
    <w:rsid w:val="008600B9"/>
    <w:rsid w:val="00870989"/>
    <w:rsid w:val="008727B1"/>
    <w:rsid w:val="00873609"/>
    <w:rsid w:val="00873E59"/>
    <w:rsid w:val="0087546F"/>
    <w:rsid w:val="00876924"/>
    <w:rsid w:val="00880111"/>
    <w:rsid w:val="00881A74"/>
    <w:rsid w:val="008845AD"/>
    <w:rsid w:val="008851A4"/>
    <w:rsid w:val="008A3CCD"/>
    <w:rsid w:val="008A4B23"/>
    <w:rsid w:val="008A56DB"/>
    <w:rsid w:val="008B1550"/>
    <w:rsid w:val="008B1D0D"/>
    <w:rsid w:val="008B21F2"/>
    <w:rsid w:val="008B3F4F"/>
    <w:rsid w:val="008B4576"/>
    <w:rsid w:val="008B4EB4"/>
    <w:rsid w:val="008D144A"/>
    <w:rsid w:val="008D22A2"/>
    <w:rsid w:val="008E15D4"/>
    <w:rsid w:val="008E29EC"/>
    <w:rsid w:val="008F454F"/>
    <w:rsid w:val="008F5261"/>
    <w:rsid w:val="008F67A4"/>
    <w:rsid w:val="009033E5"/>
    <w:rsid w:val="00903EFC"/>
    <w:rsid w:val="009048A6"/>
    <w:rsid w:val="0090554E"/>
    <w:rsid w:val="00911EC2"/>
    <w:rsid w:val="0091299B"/>
    <w:rsid w:val="009227D1"/>
    <w:rsid w:val="00924B9D"/>
    <w:rsid w:val="0092624A"/>
    <w:rsid w:val="00936859"/>
    <w:rsid w:val="00937620"/>
    <w:rsid w:val="00941688"/>
    <w:rsid w:val="00945C17"/>
    <w:rsid w:val="00950827"/>
    <w:rsid w:val="00952E5F"/>
    <w:rsid w:val="00953544"/>
    <w:rsid w:val="00955012"/>
    <w:rsid w:val="00956832"/>
    <w:rsid w:val="00956F35"/>
    <w:rsid w:val="009600E6"/>
    <w:rsid w:val="00963173"/>
    <w:rsid w:val="009651B3"/>
    <w:rsid w:val="009770B5"/>
    <w:rsid w:val="00977C34"/>
    <w:rsid w:val="009803AC"/>
    <w:rsid w:val="009814FE"/>
    <w:rsid w:val="009847BD"/>
    <w:rsid w:val="00986719"/>
    <w:rsid w:val="00995DF8"/>
    <w:rsid w:val="009A44A9"/>
    <w:rsid w:val="009A7346"/>
    <w:rsid w:val="009B02CD"/>
    <w:rsid w:val="009B0FF1"/>
    <w:rsid w:val="009B14E6"/>
    <w:rsid w:val="009B34BE"/>
    <w:rsid w:val="009B60E9"/>
    <w:rsid w:val="009B6624"/>
    <w:rsid w:val="009B7903"/>
    <w:rsid w:val="009B7D53"/>
    <w:rsid w:val="009C47C0"/>
    <w:rsid w:val="009C49A0"/>
    <w:rsid w:val="009C5D72"/>
    <w:rsid w:val="009D6B3F"/>
    <w:rsid w:val="009E2AD2"/>
    <w:rsid w:val="009F0741"/>
    <w:rsid w:val="009F16AC"/>
    <w:rsid w:val="009F1D75"/>
    <w:rsid w:val="00A00661"/>
    <w:rsid w:val="00A00932"/>
    <w:rsid w:val="00A10BE7"/>
    <w:rsid w:val="00A11131"/>
    <w:rsid w:val="00A12AE0"/>
    <w:rsid w:val="00A13C3C"/>
    <w:rsid w:val="00A17D8E"/>
    <w:rsid w:val="00A20033"/>
    <w:rsid w:val="00A24B7C"/>
    <w:rsid w:val="00A25843"/>
    <w:rsid w:val="00A3022B"/>
    <w:rsid w:val="00A335DD"/>
    <w:rsid w:val="00A37369"/>
    <w:rsid w:val="00A373E0"/>
    <w:rsid w:val="00A413C7"/>
    <w:rsid w:val="00A43B00"/>
    <w:rsid w:val="00A52074"/>
    <w:rsid w:val="00A5447E"/>
    <w:rsid w:val="00A54D62"/>
    <w:rsid w:val="00A56415"/>
    <w:rsid w:val="00A57E8C"/>
    <w:rsid w:val="00A57E99"/>
    <w:rsid w:val="00A62D7E"/>
    <w:rsid w:val="00A6402A"/>
    <w:rsid w:val="00A64A2D"/>
    <w:rsid w:val="00A65437"/>
    <w:rsid w:val="00A659AB"/>
    <w:rsid w:val="00A66A17"/>
    <w:rsid w:val="00A72120"/>
    <w:rsid w:val="00A72CE0"/>
    <w:rsid w:val="00A74945"/>
    <w:rsid w:val="00A756BE"/>
    <w:rsid w:val="00A81FD8"/>
    <w:rsid w:val="00A8425D"/>
    <w:rsid w:val="00A858A7"/>
    <w:rsid w:val="00A948BD"/>
    <w:rsid w:val="00A97CF8"/>
    <w:rsid w:val="00AA3786"/>
    <w:rsid w:val="00AA3E55"/>
    <w:rsid w:val="00AA4309"/>
    <w:rsid w:val="00AB0FEB"/>
    <w:rsid w:val="00AC2C84"/>
    <w:rsid w:val="00AC2F55"/>
    <w:rsid w:val="00AC71C9"/>
    <w:rsid w:val="00AC78D4"/>
    <w:rsid w:val="00AD14A3"/>
    <w:rsid w:val="00AD2A26"/>
    <w:rsid w:val="00AF00BE"/>
    <w:rsid w:val="00AF4B2F"/>
    <w:rsid w:val="00B0046C"/>
    <w:rsid w:val="00B00CE7"/>
    <w:rsid w:val="00B018B4"/>
    <w:rsid w:val="00B17F24"/>
    <w:rsid w:val="00B302D3"/>
    <w:rsid w:val="00B30A40"/>
    <w:rsid w:val="00B3776C"/>
    <w:rsid w:val="00B41316"/>
    <w:rsid w:val="00B427DB"/>
    <w:rsid w:val="00B44062"/>
    <w:rsid w:val="00B46BE4"/>
    <w:rsid w:val="00B51010"/>
    <w:rsid w:val="00B54802"/>
    <w:rsid w:val="00B55241"/>
    <w:rsid w:val="00B7336D"/>
    <w:rsid w:val="00B73A94"/>
    <w:rsid w:val="00B77257"/>
    <w:rsid w:val="00B77547"/>
    <w:rsid w:val="00B84067"/>
    <w:rsid w:val="00B877BC"/>
    <w:rsid w:val="00B935F6"/>
    <w:rsid w:val="00B93DB7"/>
    <w:rsid w:val="00B964D3"/>
    <w:rsid w:val="00B9706A"/>
    <w:rsid w:val="00BA0945"/>
    <w:rsid w:val="00BA6441"/>
    <w:rsid w:val="00BA74B0"/>
    <w:rsid w:val="00BA7938"/>
    <w:rsid w:val="00BB3040"/>
    <w:rsid w:val="00BB3B3D"/>
    <w:rsid w:val="00BB4834"/>
    <w:rsid w:val="00BB4F2D"/>
    <w:rsid w:val="00BB5306"/>
    <w:rsid w:val="00BB61D1"/>
    <w:rsid w:val="00BC0B25"/>
    <w:rsid w:val="00BC44FF"/>
    <w:rsid w:val="00BC48CF"/>
    <w:rsid w:val="00BC5DE1"/>
    <w:rsid w:val="00BC6B5B"/>
    <w:rsid w:val="00BC7037"/>
    <w:rsid w:val="00BD0F7A"/>
    <w:rsid w:val="00BD1286"/>
    <w:rsid w:val="00BD339A"/>
    <w:rsid w:val="00BD3C96"/>
    <w:rsid w:val="00BD58C0"/>
    <w:rsid w:val="00BE1F51"/>
    <w:rsid w:val="00BE365A"/>
    <w:rsid w:val="00BE6E2A"/>
    <w:rsid w:val="00BF0F5E"/>
    <w:rsid w:val="00BF5B6E"/>
    <w:rsid w:val="00BF626E"/>
    <w:rsid w:val="00C00CD3"/>
    <w:rsid w:val="00C043AE"/>
    <w:rsid w:val="00C0601A"/>
    <w:rsid w:val="00C06297"/>
    <w:rsid w:val="00C219E7"/>
    <w:rsid w:val="00C37F9E"/>
    <w:rsid w:val="00C4296C"/>
    <w:rsid w:val="00C51AE5"/>
    <w:rsid w:val="00C51D0B"/>
    <w:rsid w:val="00C53C41"/>
    <w:rsid w:val="00C566C0"/>
    <w:rsid w:val="00C626D2"/>
    <w:rsid w:val="00C62BB1"/>
    <w:rsid w:val="00C64D15"/>
    <w:rsid w:val="00C65117"/>
    <w:rsid w:val="00C66680"/>
    <w:rsid w:val="00C7330B"/>
    <w:rsid w:val="00C87B33"/>
    <w:rsid w:val="00CA07CA"/>
    <w:rsid w:val="00CA6B1A"/>
    <w:rsid w:val="00CB0D39"/>
    <w:rsid w:val="00CB1E1E"/>
    <w:rsid w:val="00CB42C2"/>
    <w:rsid w:val="00CB5102"/>
    <w:rsid w:val="00CD05D0"/>
    <w:rsid w:val="00CD228C"/>
    <w:rsid w:val="00CD317E"/>
    <w:rsid w:val="00CD53E9"/>
    <w:rsid w:val="00CD7652"/>
    <w:rsid w:val="00CE4EF8"/>
    <w:rsid w:val="00CF4CC7"/>
    <w:rsid w:val="00CF61E4"/>
    <w:rsid w:val="00CF678C"/>
    <w:rsid w:val="00D078AA"/>
    <w:rsid w:val="00D11F1A"/>
    <w:rsid w:val="00D14431"/>
    <w:rsid w:val="00D20384"/>
    <w:rsid w:val="00D205E3"/>
    <w:rsid w:val="00D22336"/>
    <w:rsid w:val="00D22504"/>
    <w:rsid w:val="00D23671"/>
    <w:rsid w:val="00D2605B"/>
    <w:rsid w:val="00D26A19"/>
    <w:rsid w:val="00D369BB"/>
    <w:rsid w:val="00D42546"/>
    <w:rsid w:val="00D4403C"/>
    <w:rsid w:val="00D44CC5"/>
    <w:rsid w:val="00D46894"/>
    <w:rsid w:val="00D50046"/>
    <w:rsid w:val="00D5500C"/>
    <w:rsid w:val="00D570D8"/>
    <w:rsid w:val="00D608D5"/>
    <w:rsid w:val="00D611B8"/>
    <w:rsid w:val="00D63BD6"/>
    <w:rsid w:val="00D64071"/>
    <w:rsid w:val="00D650DC"/>
    <w:rsid w:val="00D668F8"/>
    <w:rsid w:val="00D67580"/>
    <w:rsid w:val="00D710C4"/>
    <w:rsid w:val="00D72107"/>
    <w:rsid w:val="00D7360A"/>
    <w:rsid w:val="00D8746C"/>
    <w:rsid w:val="00D9121B"/>
    <w:rsid w:val="00D93E8C"/>
    <w:rsid w:val="00DA0548"/>
    <w:rsid w:val="00DA06FE"/>
    <w:rsid w:val="00DA09E5"/>
    <w:rsid w:val="00DA4ED4"/>
    <w:rsid w:val="00DA4FA3"/>
    <w:rsid w:val="00DA7870"/>
    <w:rsid w:val="00DB0649"/>
    <w:rsid w:val="00DB1CEA"/>
    <w:rsid w:val="00DB382A"/>
    <w:rsid w:val="00DB7D64"/>
    <w:rsid w:val="00DC2877"/>
    <w:rsid w:val="00DC3CD1"/>
    <w:rsid w:val="00DD0187"/>
    <w:rsid w:val="00DE44A5"/>
    <w:rsid w:val="00DF165A"/>
    <w:rsid w:val="00DF2228"/>
    <w:rsid w:val="00DF34A4"/>
    <w:rsid w:val="00DF3AE9"/>
    <w:rsid w:val="00DF59A9"/>
    <w:rsid w:val="00E02A5B"/>
    <w:rsid w:val="00E0359B"/>
    <w:rsid w:val="00E07FE4"/>
    <w:rsid w:val="00E10D43"/>
    <w:rsid w:val="00E1182E"/>
    <w:rsid w:val="00E12B7B"/>
    <w:rsid w:val="00E15DD6"/>
    <w:rsid w:val="00E15E24"/>
    <w:rsid w:val="00E172AD"/>
    <w:rsid w:val="00E2161B"/>
    <w:rsid w:val="00E24F15"/>
    <w:rsid w:val="00E335A7"/>
    <w:rsid w:val="00E44226"/>
    <w:rsid w:val="00E50A03"/>
    <w:rsid w:val="00E55C5A"/>
    <w:rsid w:val="00E5741E"/>
    <w:rsid w:val="00E62FD6"/>
    <w:rsid w:val="00E666F2"/>
    <w:rsid w:val="00E67060"/>
    <w:rsid w:val="00E703F3"/>
    <w:rsid w:val="00E71AB9"/>
    <w:rsid w:val="00E72551"/>
    <w:rsid w:val="00E7599A"/>
    <w:rsid w:val="00E77F36"/>
    <w:rsid w:val="00E8074E"/>
    <w:rsid w:val="00E817E2"/>
    <w:rsid w:val="00E81CD1"/>
    <w:rsid w:val="00E8458B"/>
    <w:rsid w:val="00E8550F"/>
    <w:rsid w:val="00E954DA"/>
    <w:rsid w:val="00E968C3"/>
    <w:rsid w:val="00E975BF"/>
    <w:rsid w:val="00EA0522"/>
    <w:rsid w:val="00EA2374"/>
    <w:rsid w:val="00EA2823"/>
    <w:rsid w:val="00EA3CC6"/>
    <w:rsid w:val="00EA3F7A"/>
    <w:rsid w:val="00EA46F0"/>
    <w:rsid w:val="00EA4E1A"/>
    <w:rsid w:val="00EC3BA9"/>
    <w:rsid w:val="00EC542E"/>
    <w:rsid w:val="00ED1BAC"/>
    <w:rsid w:val="00ED3F85"/>
    <w:rsid w:val="00EF2D9D"/>
    <w:rsid w:val="00EF4D0B"/>
    <w:rsid w:val="00EF5B9C"/>
    <w:rsid w:val="00EF760E"/>
    <w:rsid w:val="00F025F1"/>
    <w:rsid w:val="00F053CE"/>
    <w:rsid w:val="00F12268"/>
    <w:rsid w:val="00F14A4C"/>
    <w:rsid w:val="00F15655"/>
    <w:rsid w:val="00F219ED"/>
    <w:rsid w:val="00F2264F"/>
    <w:rsid w:val="00F22BA8"/>
    <w:rsid w:val="00F31748"/>
    <w:rsid w:val="00F31770"/>
    <w:rsid w:val="00F34835"/>
    <w:rsid w:val="00F36EE3"/>
    <w:rsid w:val="00F46576"/>
    <w:rsid w:val="00F501C8"/>
    <w:rsid w:val="00F533A8"/>
    <w:rsid w:val="00F55A1D"/>
    <w:rsid w:val="00F55AA6"/>
    <w:rsid w:val="00F567AD"/>
    <w:rsid w:val="00F6079B"/>
    <w:rsid w:val="00F614CE"/>
    <w:rsid w:val="00F64231"/>
    <w:rsid w:val="00F65287"/>
    <w:rsid w:val="00F67762"/>
    <w:rsid w:val="00F74C74"/>
    <w:rsid w:val="00F80E25"/>
    <w:rsid w:val="00F82CCA"/>
    <w:rsid w:val="00F83531"/>
    <w:rsid w:val="00F84ED6"/>
    <w:rsid w:val="00F85B7D"/>
    <w:rsid w:val="00F876B0"/>
    <w:rsid w:val="00F92480"/>
    <w:rsid w:val="00F934A7"/>
    <w:rsid w:val="00FA2BF1"/>
    <w:rsid w:val="00FA6A9B"/>
    <w:rsid w:val="00FB6401"/>
    <w:rsid w:val="00FC321A"/>
    <w:rsid w:val="00FD52FF"/>
    <w:rsid w:val="00FD5905"/>
    <w:rsid w:val="00FD5FED"/>
    <w:rsid w:val="00FE2674"/>
    <w:rsid w:val="00FE666C"/>
    <w:rsid w:val="00FF2AEC"/>
    <w:rsid w:val="00FF5A3E"/>
    <w:rsid w:val="00FF66B3"/>
    <w:rsid w:val="133D798A"/>
    <w:rsid w:val="16800468"/>
    <w:rsid w:val="1727292B"/>
    <w:rsid w:val="18D81F33"/>
    <w:rsid w:val="18EF07EB"/>
    <w:rsid w:val="20910C48"/>
    <w:rsid w:val="20BE17B8"/>
    <w:rsid w:val="27BF0013"/>
    <w:rsid w:val="2CFE31BE"/>
    <w:rsid w:val="2E5813C5"/>
    <w:rsid w:val="31924E29"/>
    <w:rsid w:val="32292EDF"/>
    <w:rsid w:val="3A164FE5"/>
    <w:rsid w:val="430D7CB8"/>
    <w:rsid w:val="43F2775F"/>
    <w:rsid w:val="44A3194E"/>
    <w:rsid w:val="47E97325"/>
    <w:rsid w:val="496B611A"/>
    <w:rsid w:val="4B166776"/>
    <w:rsid w:val="4FA20B7F"/>
    <w:rsid w:val="54301C51"/>
    <w:rsid w:val="54982D34"/>
    <w:rsid w:val="56655E0A"/>
    <w:rsid w:val="58817556"/>
    <w:rsid w:val="596A5151"/>
    <w:rsid w:val="5C023980"/>
    <w:rsid w:val="5EFB5A0E"/>
    <w:rsid w:val="605E1AE1"/>
    <w:rsid w:val="607961C5"/>
    <w:rsid w:val="66B459A8"/>
    <w:rsid w:val="677A5004"/>
    <w:rsid w:val="6A35569A"/>
    <w:rsid w:val="6D2130EF"/>
    <w:rsid w:val="6D983849"/>
    <w:rsid w:val="6F394209"/>
    <w:rsid w:val="6F43575E"/>
    <w:rsid w:val="704C7214"/>
    <w:rsid w:val="70A77EA1"/>
    <w:rsid w:val="718C67DA"/>
    <w:rsid w:val="7A367C5D"/>
    <w:rsid w:val="7BD93F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50" w:afterLines="50" w:line="460" w:lineRule="exact"/>
      <w:jc w:val="center"/>
    </w:pPr>
    <w:rPr>
      <w:rFonts w:ascii="华文中宋" w:hAnsi="华文中宋" w:eastAsia="华文中宋"/>
      <w:sz w:val="44"/>
      <w:szCs w:val="36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 Char Char"/>
    <w:basedOn w:val="1"/>
    <w:qFormat/>
    <w:uiPriority w:val="0"/>
  </w:style>
  <w:style w:type="character" w:customStyle="1" w:styleId="12">
    <w:name w:val="normaltext1"/>
    <w:basedOn w:val="8"/>
    <w:autoRedefine/>
    <w:qFormat/>
    <w:uiPriority w:val="0"/>
    <w:rPr>
      <w:rFonts w:hint="default"/>
      <w:color w:val="000000"/>
      <w:spacing w:val="240"/>
      <w:sz w:val="18"/>
      <w:szCs w:val="18"/>
      <w:u w:val="none"/>
    </w:rPr>
  </w:style>
  <w:style w:type="paragraph" w:customStyle="1" w:styleId="13">
    <w:name w:val="正文 + 仿宋_GB2312"/>
    <w:basedOn w:val="11"/>
    <w:autoRedefine/>
    <w:qFormat/>
    <w:uiPriority w:val="0"/>
    <w:pPr>
      <w:spacing w:line="600" w:lineRule="exact"/>
      <w:ind w:firstLine="684" w:firstLineChars="196"/>
    </w:pPr>
    <w:rPr>
      <w:rFonts w:ascii="仿宋_GB2312" w:hAnsi="仿宋" w:eastAsia="仿宋_GB2312"/>
      <w:sz w:val="32"/>
      <w:szCs w:val="32"/>
    </w:rPr>
  </w:style>
  <w:style w:type="paragraph" w:customStyle="1" w:styleId="14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font31"/>
    <w:basedOn w:val="8"/>
    <w:autoRedefine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6">
    <w:name w:val="font01"/>
    <w:basedOn w:val="8"/>
    <w:autoRedefine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7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41"/>
    <w:basedOn w:val="8"/>
    <w:autoRedefine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9">
    <w:name w:val="font11"/>
    <w:basedOn w:val="8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20">
    <w:name w:val="font6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51"/>
    <w:basedOn w:val="8"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973D2-9B7E-415C-9F1F-A0F87C502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cyczj</Company>
  <Pages>20</Pages>
  <Words>9297</Words>
  <Characters>10107</Characters>
  <Lines>72</Lines>
  <Paragraphs>20</Paragraphs>
  <TotalTime>49</TotalTime>
  <ScaleCrop>false</ScaleCrop>
  <LinksUpToDate>false</LinksUpToDate>
  <CharactersWithSpaces>10122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2021-02-20T00:22:00Z</dcterms:created>
  <dc:creator>bgs</dc:creator>
  <cp:lastModifiedBy>罗莹</cp:lastModifiedBy>
  <cp:lastPrinted>2020-05-08T08:03:00Z</cp:lastPrinted>
  <dcterms:modified xsi:type="dcterms:W3CDTF">2024-02-27T07:15:40Z</dcterms:modified>
  <dc:title>崇财字[2009]  号                     签发人：汤名东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6262FCCF4E3745D6844FEA47CF645123</vt:lpwstr>
  </property>
</Properties>
</file>