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2020年</w:t>
      </w:r>
      <w:r>
        <w:rPr>
          <w:rFonts w:hint="eastAsia" w:ascii="宋体" w:hAnsi="宋体" w:cs="宋体"/>
          <w:b/>
          <w:bCs/>
          <w:sz w:val="44"/>
          <w:szCs w:val="44"/>
          <w:lang w:val="en-US" w:eastAsia="zh-CN"/>
        </w:rPr>
        <w:t>崇义</w:t>
      </w:r>
      <w:r>
        <w:rPr>
          <w:rFonts w:hint="eastAsia" w:ascii="宋体" w:hAnsi="宋体" w:eastAsia="宋体" w:cs="宋体"/>
          <w:b/>
          <w:bCs/>
          <w:sz w:val="44"/>
          <w:szCs w:val="44"/>
          <w:lang w:val="en-US" w:eastAsia="zh-CN"/>
        </w:rPr>
        <w:t>县预算绩效管理工作开展情况说明</w:t>
      </w:r>
    </w:p>
    <w:p>
      <w:pPr>
        <w:ind w:firstLine="640" w:firstLineChars="200"/>
        <w:rPr>
          <w:rFonts w:cs="Times New Roman"/>
          <w:sz w:val="32"/>
          <w:szCs w:val="32"/>
        </w:rPr>
      </w:pPr>
    </w:p>
    <w:p>
      <w:pPr>
        <w:ind w:firstLine="640" w:firstLineChars="200"/>
        <w:rPr>
          <w:rFonts w:cs="宋体"/>
          <w:sz w:val="32"/>
          <w:szCs w:val="32"/>
        </w:rPr>
      </w:pPr>
      <w:r>
        <w:rPr>
          <w:rFonts w:hint="eastAsia" w:cs="宋体"/>
          <w:sz w:val="32"/>
          <w:szCs w:val="32"/>
        </w:rPr>
        <w:t>为加强财政支出管理，增强绩效观</w:t>
      </w:r>
      <w:bookmarkStart w:id="0" w:name="_GoBack"/>
      <w:bookmarkEnd w:id="0"/>
      <w:r>
        <w:rPr>
          <w:rFonts w:hint="eastAsia" w:cs="宋体"/>
          <w:sz w:val="32"/>
          <w:szCs w:val="32"/>
        </w:rPr>
        <w:t>念，推进“全方位、全过程、全覆盖”的预算绩效管理体系建立，崇义县财政局积极探索开展绩效评价工作，加强会计监督，提高财政资金使用效率，现就有关工作汇报如下：</w:t>
      </w:r>
    </w:p>
    <w:p>
      <w:pPr>
        <w:ind w:firstLine="640" w:firstLineChars="200"/>
        <w:rPr>
          <w:rFonts w:cs="Times New Roman"/>
          <w:sz w:val="32"/>
          <w:szCs w:val="32"/>
        </w:rPr>
      </w:pPr>
      <w:r>
        <w:rPr>
          <w:rFonts w:hint="eastAsia" w:cs="宋体"/>
          <w:sz w:val="32"/>
          <w:szCs w:val="32"/>
        </w:rPr>
        <w:t>1.2020年的工作做法及成效：</w:t>
      </w:r>
    </w:p>
    <w:p>
      <w:pPr>
        <w:ind w:firstLine="640" w:firstLineChars="200"/>
        <w:rPr>
          <w:rFonts w:cs="Times New Roman"/>
          <w:sz w:val="32"/>
          <w:szCs w:val="32"/>
        </w:rPr>
      </w:pPr>
      <w:r>
        <w:rPr>
          <w:rFonts w:hint="eastAsia" w:cs="宋体"/>
          <w:sz w:val="32"/>
          <w:szCs w:val="32"/>
        </w:rPr>
        <w:t>一是加强宣传培训，倡导绩效管理理念。举办</w:t>
      </w:r>
      <w:r>
        <w:rPr>
          <w:rFonts w:hint="eastAsia"/>
          <w:sz w:val="32"/>
          <w:szCs w:val="32"/>
        </w:rPr>
        <w:t>3</w:t>
      </w:r>
      <w:r>
        <w:rPr>
          <w:rFonts w:hint="eastAsia" w:cs="宋体"/>
          <w:sz w:val="32"/>
          <w:szCs w:val="32"/>
        </w:rPr>
        <w:t>次全县预算绩效培训会，召开了一场2020年绩效管理新闻发布会，邀请广州大学教授、第三方中介机构和局绩效股同志来授课，对《预算法》等绩效管理工作法律法规进行了全面解读，强调实施绩效管理的重要意义和紧迫性，详细阐述了绩效管理工作要求、责任落实、绩效目标的设立和指标体系的构建等规定，强化了预算部门的绩效责任主体意识。大力宣传绩效管理新理念，牢固树立“花钱必问效、无效必问责”意识，在财政部网站刊登了1篇、在省厅网站刊登了1篇、在县级宣传媒介完成5篇绩效管理宣传报道。</w:t>
      </w:r>
    </w:p>
    <w:p>
      <w:pPr>
        <w:ind w:firstLine="640" w:firstLineChars="200"/>
        <w:rPr>
          <w:rFonts w:cs="Times New Roman"/>
          <w:sz w:val="32"/>
          <w:szCs w:val="32"/>
        </w:rPr>
      </w:pPr>
      <w:r>
        <w:rPr>
          <w:rFonts w:hint="eastAsia" w:cs="宋体"/>
          <w:sz w:val="32"/>
          <w:szCs w:val="32"/>
        </w:rPr>
        <w:t>二是制定、印发相关文件9件，健全绩效管理制度。为贯彻落实党的十九大“全面实施绩效管理”的要求，制定和印发了《中共崇义县委</w:t>
      </w:r>
      <w:r>
        <w:rPr>
          <w:sz w:val="32"/>
          <w:szCs w:val="32"/>
        </w:rPr>
        <w:t xml:space="preserve"> </w:t>
      </w:r>
      <w:r>
        <w:rPr>
          <w:rFonts w:hint="eastAsia" w:cs="宋体"/>
          <w:sz w:val="32"/>
          <w:szCs w:val="32"/>
        </w:rPr>
        <w:t>崇义县人民政府关于全面实施预算绩效管理的实施意见》（崇发[2019]14号）、崇义县财政局〈关于贯彻落实《中共崇义县委</w:t>
      </w:r>
      <w:r>
        <w:rPr>
          <w:sz w:val="32"/>
          <w:szCs w:val="32"/>
        </w:rPr>
        <w:t xml:space="preserve"> </w:t>
      </w:r>
      <w:r>
        <w:rPr>
          <w:rFonts w:hint="eastAsia" w:cs="宋体"/>
          <w:sz w:val="32"/>
          <w:szCs w:val="32"/>
        </w:rPr>
        <w:t>崇义县人民政府关于全面实施预算绩效管理的实施意见》的通知〉（崇财字[2019]166号）、崇义县财政局《关于开展2019年度预算部门整体支出绩效评价工作的通知》（崇财字[2020]30号）、崇义县财政局《关于开展2019年度部门预算项目支出绩效自评工作的通知》（崇财字[2020]29号）、《崇义县财政局预算绩效管理内部工作规程》（崇财字[2020]73号）、《崇义县预算绩效管理暂行办法》（崇财字[2020]76号）、《关于开展2020年重点预算绩效评价和预算绩效运行监控工作的通知》（崇财字[2020]88号）、《关于做好</w:t>
      </w:r>
      <w:r>
        <w:rPr>
          <w:sz w:val="32"/>
          <w:szCs w:val="32"/>
        </w:rPr>
        <w:t>2020</w:t>
      </w:r>
      <w:r>
        <w:rPr>
          <w:rFonts w:hint="eastAsia" w:cs="宋体"/>
          <w:sz w:val="32"/>
          <w:szCs w:val="32"/>
        </w:rPr>
        <w:t>年度预算部门（单位）绩效考评中预算绩效管理工作考评的通知》（崇财字[2020]140号）、崇义县财政局《关于预算绩效管理信息系统上线运行有关事项的通知》（崇财字[2020]185号）。明确了各类主体和相关人员在预算绩效管理中的职责，以制度协调各方面关系，促进预算绩效管理工作不断深化。</w:t>
      </w:r>
    </w:p>
    <w:p>
      <w:pPr>
        <w:ind w:firstLine="640" w:firstLineChars="200"/>
        <w:rPr>
          <w:rFonts w:cs="Times New Roman"/>
          <w:sz w:val="32"/>
          <w:szCs w:val="32"/>
        </w:rPr>
      </w:pPr>
      <w:r>
        <w:rPr>
          <w:rFonts w:hint="eastAsia" w:cs="宋体"/>
          <w:sz w:val="32"/>
          <w:szCs w:val="32"/>
        </w:rPr>
        <w:t>三是收集整理资料，完善绩效管理台账。</w:t>
      </w:r>
      <w:r>
        <w:rPr>
          <w:rFonts w:hint="eastAsia" w:ascii="宋体" w:hAnsi="宋体" w:cs="宋体"/>
          <w:sz w:val="32"/>
          <w:szCs w:val="32"/>
        </w:rPr>
        <w:t>①</w:t>
      </w:r>
      <w:r>
        <w:rPr>
          <w:rFonts w:hint="eastAsia" w:cs="宋体"/>
          <w:sz w:val="32"/>
          <w:szCs w:val="32"/>
        </w:rPr>
        <w:t>收集、整理2019年度绩效管理工作资料及上报，通过了省、市政府对县高质量发展预算绩效管理工作的考核审查，获得省、市主管部门的一致好评。</w:t>
      </w:r>
      <w:r>
        <w:rPr>
          <w:rFonts w:hint="eastAsia" w:ascii="宋体" w:hAnsi="宋体" w:cs="宋体"/>
          <w:sz w:val="32"/>
          <w:szCs w:val="32"/>
        </w:rPr>
        <w:t>②完善绩效管理台账。</w:t>
      </w:r>
      <w:r>
        <w:rPr>
          <w:rFonts w:hint="eastAsia" w:cs="宋体"/>
          <w:sz w:val="32"/>
          <w:szCs w:val="32"/>
        </w:rPr>
        <w:t>建立了2019年度各预算部门整体支出绩效自评价台账，完成整体支出绩效自评价金额</w:t>
      </w:r>
      <w:r>
        <w:rPr>
          <w:rFonts w:hint="eastAsia"/>
          <w:sz w:val="32"/>
          <w:szCs w:val="32"/>
        </w:rPr>
        <w:t>90245.782</w:t>
      </w:r>
      <w:r>
        <w:rPr>
          <w:rFonts w:hint="eastAsia" w:cs="宋体"/>
          <w:sz w:val="32"/>
          <w:szCs w:val="32"/>
        </w:rPr>
        <w:t>万元、整体支出绩效目标单位</w:t>
      </w:r>
      <w:r>
        <w:rPr>
          <w:sz w:val="32"/>
          <w:szCs w:val="32"/>
        </w:rPr>
        <w:t>105</w:t>
      </w:r>
      <w:r>
        <w:rPr>
          <w:rFonts w:hint="eastAsia" w:cs="宋体"/>
          <w:sz w:val="32"/>
          <w:szCs w:val="32"/>
        </w:rPr>
        <w:t>个；2019年度各预算部门（单位）项目支出绩效自评价台账，完成项目支出绩效自评价金额</w:t>
      </w:r>
      <w:r>
        <w:rPr>
          <w:sz w:val="32"/>
          <w:szCs w:val="32"/>
        </w:rPr>
        <w:t>34210</w:t>
      </w:r>
      <w:r>
        <w:rPr>
          <w:rFonts w:hint="eastAsia" w:cs="宋体"/>
          <w:sz w:val="32"/>
          <w:szCs w:val="32"/>
        </w:rPr>
        <w:t>万元、项目支出绩效目标数量</w:t>
      </w:r>
      <w:r>
        <w:rPr>
          <w:sz w:val="32"/>
          <w:szCs w:val="32"/>
        </w:rPr>
        <w:t>162</w:t>
      </w:r>
      <w:r>
        <w:rPr>
          <w:rFonts w:hint="eastAsia" w:cs="宋体"/>
          <w:sz w:val="32"/>
          <w:szCs w:val="32"/>
        </w:rPr>
        <w:t>个。建立了2020年各预算部门整体绩效目标申报台账，单位数量105个、资金66290.54万元；2020年各预算部门（单位）项目绩效目标申报台账，项目数量156个，资金24016.48万元。</w:t>
      </w:r>
      <w:r>
        <w:rPr>
          <w:rFonts w:hint="eastAsia" w:ascii="宋体" w:hAnsi="宋体" w:cs="宋体"/>
          <w:sz w:val="32"/>
          <w:szCs w:val="32"/>
        </w:rPr>
        <w:t>建立了</w:t>
      </w:r>
      <w:r>
        <w:rPr>
          <w:rFonts w:hint="eastAsia" w:cs="宋体"/>
          <w:sz w:val="32"/>
          <w:szCs w:val="32"/>
        </w:rPr>
        <w:t>2020年1-7月整体支出绩效运行监控台账，单位数量105个，资金44180.232万元；2020年1-7月项目支出绩效运行监控台账，项目数量227个，资金22542.43万元。</w:t>
      </w:r>
    </w:p>
    <w:p>
      <w:pPr>
        <w:ind w:firstLine="640" w:firstLineChars="200"/>
        <w:rPr>
          <w:rFonts w:ascii="宋体" w:hAnsi="宋体" w:cs="仿宋_GB2312"/>
          <w:kern w:val="0"/>
          <w:sz w:val="32"/>
          <w:szCs w:val="32"/>
        </w:rPr>
      </w:pPr>
      <w:r>
        <w:rPr>
          <w:rFonts w:hint="eastAsia" w:cs="宋体"/>
          <w:sz w:val="32"/>
          <w:szCs w:val="32"/>
        </w:rPr>
        <w:t>四是推进财政重点评价，优化财政资源配置。绩效评价工作本着预算单位绩效自评为主，财政重点评价为辅的原则，于</w:t>
      </w:r>
      <w:r>
        <w:rPr>
          <w:sz w:val="32"/>
          <w:szCs w:val="32"/>
        </w:rPr>
        <w:t>2020</w:t>
      </w:r>
      <w:r>
        <w:rPr>
          <w:rFonts w:hint="eastAsia" w:cs="宋体"/>
          <w:sz w:val="32"/>
          <w:szCs w:val="32"/>
        </w:rPr>
        <w:t>年</w:t>
      </w:r>
      <w:r>
        <w:rPr>
          <w:sz w:val="32"/>
          <w:szCs w:val="32"/>
        </w:rPr>
        <w:t>8-10</w:t>
      </w:r>
      <w:r>
        <w:rPr>
          <w:rFonts w:hint="eastAsia" w:cs="宋体"/>
          <w:sz w:val="32"/>
          <w:szCs w:val="32"/>
        </w:rPr>
        <w:t>月份选取了</w:t>
      </w:r>
      <w:r>
        <w:rPr>
          <w:sz w:val="32"/>
          <w:szCs w:val="32"/>
        </w:rPr>
        <w:t>5</w:t>
      </w:r>
      <w:r>
        <w:rPr>
          <w:rFonts w:hint="eastAsia" w:cs="宋体"/>
          <w:sz w:val="32"/>
          <w:szCs w:val="32"/>
        </w:rPr>
        <w:t>个项目资金绩效、</w:t>
      </w:r>
      <w:r>
        <w:rPr>
          <w:sz w:val="32"/>
          <w:szCs w:val="32"/>
        </w:rPr>
        <w:t>4</w:t>
      </w:r>
      <w:r>
        <w:rPr>
          <w:rFonts w:hint="eastAsia" w:cs="宋体"/>
          <w:sz w:val="32"/>
          <w:szCs w:val="32"/>
        </w:rPr>
        <w:t>个部门整体支出绩效（因县委党校办公楼装修改造，无法取得资料未评价）、</w:t>
      </w:r>
      <w:r>
        <w:rPr>
          <w:sz w:val="32"/>
          <w:szCs w:val="32"/>
        </w:rPr>
        <w:t>2</w:t>
      </w:r>
      <w:r>
        <w:rPr>
          <w:rFonts w:hint="eastAsia" w:cs="宋体"/>
          <w:sz w:val="32"/>
          <w:szCs w:val="32"/>
        </w:rPr>
        <w:t>个重点项目绩效运行跟踪，采取第三方中介机构参与和财政评价相结合的方式，进行重点绩效评价，以点带面，实行绩效评价结果与预算安排相挂钩的管理机制，对评价结果与实际情况出入较大或绩效较差的，在下一年度预算安排相关资金时予以从严、从紧考虑，问题严重的进行追责问责，有效带动全县绩效管理工作的开展。</w:t>
      </w:r>
      <w:r>
        <w:rPr>
          <w:rFonts w:hint="eastAsia" w:ascii="宋体" w:hAnsi="宋体" w:cs="仿宋_GB2312"/>
          <w:kern w:val="0"/>
          <w:sz w:val="32"/>
          <w:szCs w:val="32"/>
        </w:rPr>
        <w:t>截止</w:t>
      </w:r>
      <w:r>
        <w:rPr>
          <w:rFonts w:ascii="宋体" w:hAnsi="宋体" w:cs="仿宋_GB2312"/>
          <w:kern w:val="0"/>
          <w:sz w:val="32"/>
          <w:szCs w:val="32"/>
        </w:rPr>
        <w:t>11</w:t>
      </w:r>
      <w:r>
        <w:rPr>
          <w:rFonts w:hint="eastAsia" w:ascii="宋体" w:hAnsi="宋体" w:cs="仿宋_GB2312"/>
          <w:kern w:val="0"/>
          <w:sz w:val="32"/>
          <w:szCs w:val="32"/>
        </w:rPr>
        <w:t>月已全部完成</w:t>
      </w:r>
      <w:r>
        <w:rPr>
          <w:rFonts w:ascii="宋体" w:hAnsi="宋体" w:cs="仿宋_GB2312"/>
          <w:kern w:val="0"/>
          <w:sz w:val="32"/>
          <w:szCs w:val="32"/>
        </w:rPr>
        <w:t>1</w:t>
      </w:r>
      <w:r>
        <w:rPr>
          <w:rFonts w:hint="eastAsia" w:ascii="宋体" w:hAnsi="宋体" w:cs="仿宋_GB2312"/>
          <w:kern w:val="0"/>
          <w:sz w:val="32"/>
          <w:szCs w:val="32"/>
        </w:rPr>
        <w:t>0个项目支出和整体支出绩效评价报告，评价金额9051.814万元，整改金额155.924万元。</w:t>
      </w:r>
    </w:p>
    <w:p>
      <w:pPr>
        <w:ind w:firstLine="640" w:firstLineChars="200"/>
        <w:rPr>
          <w:rFonts w:ascii="宋体" w:hAnsi="宋体" w:cs="仿宋_GB2312"/>
          <w:kern w:val="0"/>
          <w:sz w:val="32"/>
          <w:szCs w:val="32"/>
        </w:rPr>
      </w:pPr>
      <w:r>
        <w:rPr>
          <w:rFonts w:hint="eastAsia" w:ascii="宋体" w:hAnsi="宋体" w:cs="仿宋_GB2312"/>
          <w:sz w:val="32"/>
          <w:szCs w:val="32"/>
        </w:rPr>
        <w:t>五是依托监控平台，提高资金使用效益。做好中央直达资金、扶贫资金的监控，纠正偏差，及时协调、督促相关股室在资金方面的分配、支付、对账工作，按时上报监控资金的月报表和监控分析材料，处理直达资金和扶贫资金预警信息55条。2020年直达资金、扶贫资金等绩效目标填报、绩效目标审核比例均达100%。</w:t>
      </w:r>
    </w:p>
    <w:p>
      <w:pPr>
        <w:rPr>
          <w:rFonts w:ascii="宋体" w:hAnsi="宋体" w:cs="仿宋_GB2312"/>
          <w:kern w:val="0"/>
          <w:sz w:val="32"/>
          <w:szCs w:val="32"/>
        </w:rPr>
      </w:pPr>
      <w:r>
        <w:rPr>
          <w:rFonts w:hint="eastAsia" w:ascii="宋体" w:hAnsi="宋体" w:cs="仿宋_GB2312"/>
          <w:kern w:val="0"/>
          <w:sz w:val="32"/>
          <w:szCs w:val="32"/>
        </w:rPr>
        <w:t>附：财政重点评价明细表</w:t>
      </w:r>
    </w:p>
    <w:p>
      <w:pPr>
        <w:ind w:firstLine="2720" w:firstLineChars="850"/>
        <w:rPr>
          <w:rFonts w:ascii="宋体" w:hAnsi="宋体" w:cs="仿宋_GB2312"/>
          <w:kern w:val="0"/>
          <w:sz w:val="32"/>
          <w:szCs w:val="32"/>
        </w:rPr>
      </w:pPr>
    </w:p>
    <w:p>
      <w:pPr>
        <w:ind w:firstLine="2720" w:firstLineChars="850"/>
        <w:rPr>
          <w:rFonts w:ascii="宋体" w:hAnsi="宋体" w:cs="仿宋_GB2312"/>
          <w:kern w:val="0"/>
          <w:sz w:val="32"/>
          <w:szCs w:val="32"/>
        </w:rPr>
      </w:pPr>
    </w:p>
    <w:p>
      <w:pPr>
        <w:ind w:firstLine="2720" w:firstLineChars="850"/>
        <w:rPr>
          <w:rFonts w:ascii="宋体" w:hAnsi="宋体" w:cs="仿宋_GB2312"/>
          <w:kern w:val="0"/>
          <w:sz w:val="32"/>
          <w:szCs w:val="32"/>
        </w:rPr>
      </w:pPr>
    </w:p>
    <w:p>
      <w:pPr>
        <w:ind w:firstLine="2720" w:firstLineChars="850"/>
        <w:rPr>
          <w:rFonts w:ascii="宋体" w:hAnsi="宋体" w:cs="仿宋_GB2312"/>
          <w:kern w:val="0"/>
          <w:sz w:val="32"/>
          <w:szCs w:val="32"/>
        </w:rPr>
      </w:pPr>
    </w:p>
    <w:p>
      <w:pPr>
        <w:rPr>
          <w:rFonts w:ascii="宋体" w:hAnsi="宋体" w:cs="仿宋_GB2312"/>
          <w:kern w:val="0"/>
          <w:sz w:val="32"/>
          <w:szCs w:val="32"/>
        </w:rPr>
      </w:pPr>
    </w:p>
    <w:p>
      <w:pPr>
        <w:ind w:firstLine="2720" w:firstLineChars="850"/>
        <w:rPr>
          <w:rFonts w:ascii="宋体" w:hAnsi="宋体" w:cs="仿宋_GB2312"/>
          <w:kern w:val="0"/>
          <w:sz w:val="32"/>
          <w:szCs w:val="32"/>
        </w:rPr>
      </w:pPr>
      <w:r>
        <w:rPr>
          <w:rFonts w:hint="eastAsia" w:ascii="宋体" w:hAnsi="宋体" w:cs="仿宋_GB2312"/>
          <w:kern w:val="0"/>
          <w:sz w:val="32"/>
          <w:szCs w:val="32"/>
        </w:rPr>
        <w:t>财政重点评价明细表</w:t>
      </w:r>
    </w:p>
    <w:p>
      <w:pPr>
        <w:ind w:firstLine="7440" w:firstLineChars="3100"/>
        <w:rPr>
          <w:rFonts w:ascii="宋体" w:hAnsi="宋体" w:cs="Times New Roman"/>
          <w:sz w:val="24"/>
          <w:szCs w:val="24"/>
        </w:rPr>
      </w:pPr>
      <w:r>
        <w:rPr>
          <w:rFonts w:hint="eastAsia" w:ascii="宋体" w:hAnsi="宋体" w:cs="仿宋_GB2312"/>
          <w:kern w:val="0"/>
          <w:sz w:val="24"/>
          <w:szCs w:val="24"/>
        </w:rPr>
        <w:t>单位：万元</w:t>
      </w: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544"/>
        <w:gridCol w:w="1276"/>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jc w:val="center"/>
              <w:rPr>
                <w:sz w:val="24"/>
                <w:szCs w:val="24"/>
              </w:rPr>
            </w:pPr>
            <w:r>
              <w:rPr>
                <w:rFonts w:hint="eastAsia"/>
                <w:sz w:val="24"/>
                <w:szCs w:val="24"/>
              </w:rPr>
              <w:t>序号</w:t>
            </w:r>
          </w:p>
        </w:tc>
        <w:tc>
          <w:tcPr>
            <w:tcW w:w="4544" w:type="dxa"/>
          </w:tcPr>
          <w:p>
            <w:pPr>
              <w:jc w:val="center"/>
              <w:rPr>
                <w:sz w:val="24"/>
                <w:szCs w:val="24"/>
              </w:rPr>
            </w:pPr>
            <w:r>
              <w:rPr>
                <w:rFonts w:hint="eastAsia"/>
                <w:sz w:val="24"/>
                <w:szCs w:val="24"/>
              </w:rPr>
              <w:t>名   称</w:t>
            </w:r>
          </w:p>
        </w:tc>
        <w:tc>
          <w:tcPr>
            <w:tcW w:w="1276" w:type="dxa"/>
          </w:tcPr>
          <w:p>
            <w:pPr>
              <w:jc w:val="center"/>
              <w:rPr>
                <w:sz w:val="24"/>
                <w:szCs w:val="24"/>
              </w:rPr>
            </w:pPr>
            <w:r>
              <w:rPr>
                <w:rFonts w:hint="eastAsia"/>
                <w:sz w:val="24"/>
                <w:szCs w:val="24"/>
              </w:rPr>
              <w:t>金  额</w:t>
            </w:r>
          </w:p>
        </w:tc>
        <w:tc>
          <w:tcPr>
            <w:tcW w:w="1276" w:type="dxa"/>
          </w:tcPr>
          <w:p>
            <w:pPr>
              <w:jc w:val="center"/>
              <w:rPr>
                <w:sz w:val="24"/>
                <w:szCs w:val="24"/>
              </w:rPr>
            </w:pPr>
            <w:r>
              <w:rPr>
                <w:rFonts w:hint="eastAsia"/>
                <w:sz w:val="24"/>
                <w:szCs w:val="24"/>
              </w:rPr>
              <w:t>涉及领域</w:t>
            </w:r>
          </w:p>
        </w:tc>
        <w:tc>
          <w:tcPr>
            <w:tcW w:w="1701" w:type="dxa"/>
            <w:shd w:val="clear" w:color="auto" w:fill="auto"/>
          </w:tcPr>
          <w:p>
            <w:pPr>
              <w:widowControl/>
              <w:jc w:val="center"/>
              <w:rPr>
                <w:sz w:val="24"/>
                <w:szCs w:val="24"/>
              </w:rPr>
            </w:pPr>
            <w:r>
              <w:rPr>
                <w:rFonts w:hint="eastAsia"/>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1</w:t>
            </w:r>
          </w:p>
        </w:tc>
        <w:tc>
          <w:tcPr>
            <w:tcW w:w="4544" w:type="dxa"/>
          </w:tcPr>
          <w:p>
            <w:pPr>
              <w:rPr>
                <w:sz w:val="24"/>
                <w:szCs w:val="24"/>
              </w:rPr>
            </w:pPr>
            <w:r>
              <w:rPr>
                <w:rFonts w:hint="eastAsia"/>
                <w:sz w:val="24"/>
                <w:szCs w:val="24"/>
              </w:rPr>
              <w:t>水利局2019年度整体支出</w:t>
            </w:r>
          </w:p>
        </w:tc>
        <w:tc>
          <w:tcPr>
            <w:tcW w:w="1276" w:type="dxa"/>
          </w:tcPr>
          <w:p>
            <w:pPr>
              <w:rPr>
                <w:sz w:val="24"/>
                <w:szCs w:val="24"/>
              </w:rPr>
            </w:pPr>
            <w:r>
              <w:rPr>
                <w:rFonts w:hint="eastAsia"/>
                <w:sz w:val="24"/>
                <w:szCs w:val="24"/>
              </w:rPr>
              <w:t>655.31</w:t>
            </w:r>
          </w:p>
        </w:tc>
        <w:tc>
          <w:tcPr>
            <w:tcW w:w="1276" w:type="dxa"/>
          </w:tcPr>
          <w:p>
            <w:pPr>
              <w:rPr>
                <w:sz w:val="18"/>
                <w:szCs w:val="18"/>
              </w:rPr>
            </w:pPr>
            <w:r>
              <w:rPr>
                <w:rFonts w:hint="eastAsia"/>
                <w:sz w:val="18"/>
                <w:szCs w:val="18"/>
              </w:rPr>
              <w:t>水利</w:t>
            </w:r>
          </w:p>
        </w:tc>
        <w:tc>
          <w:tcPr>
            <w:tcW w:w="1701" w:type="dxa"/>
            <w:shd w:val="clear" w:color="auto" w:fill="auto"/>
          </w:tcPr>
          <w:p>
            <w:pPr>
              <w:widowControl/>
              <w:jc w:val="left"/>
              <w:rPr>
                <w:sz w:val="18"/>
                <w:szCs w:val="18"/>
              </w:rPr>
            </w:pPr>
            <w:r>
              <w:rPr>
                <w:rFonts w:hint="eastAsia"/>
                <w:sz w:val="18"/>
                <w:szCs w:val="18"/>
              </w:rPr>
              <w:t>整改金额155.924万元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 xml:space="preserve"> 2</w:t>
            </w:r>
          </w:p>
        </w:tc>
        <w:tc>
          <w:tcPr>
            <w:tcW w:w="4544" w:type="dxa"/>
          </w:tcPr>
          <w:p>
            <w:pPr>
              <w:rPr>
                <w:sz w:val="24"/>
                <w:szCs w:val="24"/>
              </w:rPr>
            </w:pPr>
            <w:r>
              <w:rPr>
                <w:rFonts w:hint="eastAsia"/>
                <w:sz w:val="24"/>
                <w:szCs w:val="24"/>
              </w:rPr>
              <w:t>司法局2019年度整体支出</w:t>
            </w:r>
          </w:p>
        </w:tc>
        <w:tc>
          <w:tcPr>
            <w:tcW w:w="1276" w:type="dxa"/>
          </w:tcPr>
          <w:p>
            <w:pPr>
              <w:rPr>
                <w:sz w:val="24"/>
                <w:szCs w:val="24"/>
              </w:rPr>
            </w:pPr>
            <w:r>
              <w:rPr>
                <w:rFonts w:hint="eastAsia"/>
                <w:sz w:val="24"/>
                <w:szCs w:val="24"/>
              </w:rPr>
              <w:t>713.82</w:t>
            </w:r>
          </w:p>
        </w:tc>
        <w:tc>
          <w:tcPr>
            <w:tcW w:w="1276" w:type="dxa"/>
          </w:tcPr>
          <w:p>
            <w:pPr>
              <w:rPr>
                <w:sz w:val="18"/>
                <w:szCs w:val="18"/>
              </w:rPr>
            </w:pPr>
            <w:r>
              <w:rPr>
                <w:rFonts w:hint="eastAsia"/>
                <w:sz w:val="18"/>
                <w:szCs w:val="18"/>
              </w:rPr>
              <w:t>司法</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3</w:t>
            </w:r>
          </w:p>
        </w:tc>
        <w:tc>
          <w:tcPr>
            <w:tcW w:w="4544" w:type="dxa"/>
          </w:tcPr>
          <w:p>
            <w:pPr>
              <w:rPr>
                <w:sz w:val="24"/>
                <w:szCs w:val="24"/>
              </w:rPr>
            </w:pPr>
            <w:r>
              <w:rPr>
                <w:rFonts w:hint="eastAsia"/>
                <w:sz w:val="24"/>
                <w:szCs w:val="24"/>
              </w:rPr>
              <w:t>关田镇政府2019年度整体支出</w:t>
            </w:r>
          </w:p>
        </w:tc>
        <w:tc>
          <w:tcPr>
            <w:tcW w:w="1276" w:type="dxa"/>
          </w:tcPr>
          <w:p>
            <w:pPr>
              <w:rPr>
                <w:sz w:val="24"/>
                <w:szCs w:val="24"/>
              </w:rPr>
            </w:pPr>
            <w:r>
              <w:rPr>
                <w:rFonts w:hint="eastAsia"/>
                <w:sz w:val="24"/>
                <w:szCs w:val="24"/>
              </w:rPr>
              <w:t>650.88</w:t>
            </w:r>
          </w:p>
        </w:tc>
        <w:tc>
          <w:tcPr>
            <w:tcW w:w="1276" w:type="dxa"/>
          </w:tcPr>
          <w:p>
            <w:pPr>
              <w:rPr>
                <w:sz w:val="18"/>
                <w:szCs w:val="18"/>
              </w:rPr>
            </w:pPr>
            <w:r>
              <w:rPr>
                <w:rFonts w:hint="eastAsia"/>
                <w:sz w:val="18"/>
                <w:szCs w:val="18"/>
              </w:rPr>
              <w:t>乡镇</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09" w:type="dxa"/>
          </w:tcPr>
          <w:p>
            <w:pPr>
              <w:rPr>
                <w:sz w:val="24"/>
                <w:szCs w:val="24"/>
              </w:rPr>
            </w:pPr>
            <w:r>
              <w:rPr>
                <w:rFonts w:hint="eastAsia"/>
                <w:sz w:val="24"/>
                <w:szCs w:val="24"/>
              </w:rPr>
              <w:t>4</w:t>
            </w:r>
          </w:p>
        </w:tc>
        <w:tc>
          <w:tcPr>
            <w:tcW w:w="4544" w:type="dxa"/>
          </w:tcPr>
          <w:p>
            <w:pPr>
              <w:rPr>
                <w:sz w:val="24"/>
                <w:szCs w:val="24"/>
              </w:rPr>
            </w:pPr>
            <w:r>
              <w:rPr>
                <w:rFonts w:hint="eastAsia"/>
                <w:sz w:val="24"/>
                <w:szCs w:val="24"/>
              </w:rPr>
              <w:t>县委党校2019年度整体支出</w:t>
            </w:r>
          </w:p>
        </w:tc>
        <w:tc>
          <w:tcPr>
            <w:tcW w:w="1276" w:type="dxa"/>
          </w:tcPr>
          <w:p>
            <w:pPr>
              <w:rPr>
                <w:sz w:val="24"/>
                <w:szCs w:val="24"/>
              </w:rPr>
            </w:pPr>
          </w:p>
        </w:tc>
        <w:tc>
          <w:tcPr>
            <w:tcW w:w="1276" w:type="dxa"/>
          </w:tcPr>
          <w:p>
            <w:pPr>
              <w:rPr>
                <w:sz w:val="18"/>
                <w:szCs w:val="18"/>
              </w:rPr>
            </w:pPr>
          </w:p>
        </w:tc>
        <w:tc>
          <w:tcPr>
            <w:tcW w:w="1701" w:type="dxa"/>
            <w:shd w:val="clear" w:color="auto" w:fill="auto"/>
          </w:tcPr>
          <w:p>
            <w:pPr>
              <w:widowControl/>
              <w:jc w:val="left"/>
              <w:rPr>
                <w:sz w:val="18"/>
                <w:szCs w:val="18"/>
              </w:rPr>
            </w:pPr>
            <w:r>
              <w:rPr>
                <w:rFonts w:hint="eastAsia"/>
                <w:sz w:val="18"/>
                <w:szCs w:val="18"/>
              </w:rPr>
              <w:t>因办公楼改造无法查看资料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5</w:t>
            </w:r>
          </w:p>
        </w:tc>
        <w:tc>
          <w:tcPr>
            <w:tcW w:w="4544" w:type="dxa"/>
          </w:tcPr>
          <w:p>
            <w:pPr>
              <w:rPr>
                <w:sz w:val="24"/>
                <w:szCs w:val="24"/>
              </w:rPr>
            </w:pPr>
            <w:r>
              <w:rPr>
                <w:rFonts w:hint="eastAsia"/>
                <w:sz w:val="24"/>
                <w:szCs w:val="24"/>
              </w:rPr>
              <w:t>2019年基本公共卫生服务补助项目</w:t>
            </w:r>
          </w:p>
        </w:tc>
        <w:tc>
          <w:tcPr>
            <w:tcW w:w="1276" w:type="dxa"/>
          </w:tcPr>
          <w:p>
            <w:pPr>
              <w:rPr>
                <w:sz w:val="24"/>
                <w:szCs w:val="24"/>
              </w:rPr>
            </w:pPr>
            <w:r>
              <w:rPr>
                <w:rFonts w:hint="eastAsia"/>
                <w:sz w:val="24"/>
                <w:szCs w:val="24"/>
              </w:rPr>
              <w:t>1159.3812</w:t>
            </w:r>
          </w:p>
        </w:tc>
        <w:tc>
          <w:tcPr>
            <w:tcW w:w="1276" w:type="dxa"/>
          </w:tcPr>
          <w:p>
            <w:pPr>
              <w:rPr>
                <w:sz w:val="18"/>
                <w:szCs w:val="18"/>
              </w:rPr>
            </w:pPr>
            <w:r>
              <w:rPr>
                <w:rFonts w:hint="eastAsia"/>
                <w:sz w:val="18"/>
                <w:szCs w:val="18"/>
              </w:rPr>
              <w:t>医疗卫生</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6</w:t>
            </w:r>
          </w:p>
        </w:tc>
        <w:tc>
          <w:tcPr>
            <w:tcW w:w="4544" w:type="dxa"/>
          </w:tcPr>
          <w:p>
            <w:pPr>
              <w:rPr>
                <w:sz w:val="24"/>
                <w:szCs w:val="24"/>
              </w:rPr>
            </w:pPr>
            <w:r>
              <w:rPr>
                <w:rFonts w:hint="eastAsia"/>
                <w:sz w:val="24"/>
                <w:szCs w:val="24"/>
              </w:rPr>
              <w:t>2019年君子谷特色小镇建设奖补项目</w:t>
            </w:r>
          </w:p>
        </w:tc>
        <w:tc>
          <w:tcPr>
            <w:tcW w:w="1276" w:type="dxa"/>
          </w:tcPr>
          <w:p>
            <w:pPr>
              <w:rPr>
                <w:sz w:val="24"/>
                <w:szCs w:val="24"/>
              </w:rPr>
            </w:pPr>
            <w:r>
              <w:rPr>
                <w:rFonts w:hint="eastAsia"/>
                <w:sz w:val="24"/>
                <w:szCs w:val="24"/>
              </w:rPr>
              <w:t>200</w:t>
            </w:r>
          </w:p>
        </w:tc>
        <w:tc>
          <w:tcPr>
            <w:tcW w:w="1276" w:type="dxa"/>
          </w:tcPr>
          <w:p>
            <w:pPr>
              <w:rPr>
                <w:sz w:val="18"/>
                <w:szCs w:val="18"/>
              </w:rPr>
            </w:pPr>
            <w:r>
              <w:rPr>
                <w:rFonts w:hint="eastAsia"/>
                <w:sz w:val="18"/>
                <w:szCs w:val="18"/>
              </w:rPr>
              <w:t>农村建设</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7</w:t>
            </w:r>
          </w:p>
        </w:tc>
        <w:tc>
          <w:tcPr>
            <w:tcW w:w="4544" w:type="dxa"/>
          </w:tcPr>
          <w:p>
            <w:pPr>
              <w:rPr>
                <w:sz w:val="24"/>
                <w:szCs w:val="24"/>
              </w:rPr>
            </w:pPr>
            <w:r>
              <w:rPr>
                <w:rFonts w:hint="eastAsia"/>
                <w:sz w:val="24"/>
                <w:szCs w:val="24"/>
              </w:rPr>
              <w:t>2019年就业补助资金项目</w:t>
            </w:r>
          </w:p>
        </w:tc>
        <w:tc>
          <w:tcPr>
            <w:tcW w:w="1276" w:type="dxa"/>
          </w:tcPr>
          <w:p>
            <w:pPr>
              <w:rPr>
                <w:sz w:val="24"/>
                <w:szCs w:val="24"/>
              </w:rPr>
            </w:pPr>
            <w:r>
              <w:rPr>
                <w:rFonts w:hint="eastAsia"/>
                <w:sz w:val="24"/>
                <w:szCs w:val="24"/>
              </w:rPr>
              <w:t>2044.49</w:t>
            </w:r>
          </w:p>
        </w:tc>
        <w:tc>
          <w:tcPr>
            <w:tcW w:w="1276" w:type="dxa"/>
          </w:tcPr>
          <w:p>
            <w:pPr>
              <w:rPr>
                <w:sz w:val="18"/>
                <w:szCs w:val="18"/>
              </w:rPr>
            </w:pPr>
            <w:r>
              <w:rPr>
                <w:rFonts w:hint="eastAsia"/>
                <w:sz w:val="18"/>
                <w:szCs w:val="18"/>
              </w:rPr>
              <w:t>社会保险</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8</w:t>
            </w:r>
          </w:p>
        </w:tc>
        <w:tc>
          <w:tcPr>
            <w:tcW w:w="4544" w:type="dxa"/>
          </w:tcPr>
          <w:p>
            <w:pPr>
              <w:rPr>
                <w:sz w:val="24"/>
                <w:szCs w:val="24"/>
              </w:rPr>
            </w:pPr>
            <w:r>
              <w:rPr>
                <w:rFonts w:hint="eastAsia"/>
                <w:sz w:val="24"/>
                <w:szCs w:val="24"/>
              </w:rPr>
              <w:t>第三次国土调查和自然资源统一确权登记</w:t>
            </w:r>
          </w:p>
        </w:tc>
        <w:tc>
          <w:tcPr>
            <w:tcW w:w="1276" w:type="dxa"/>
          </w:tcPr>
          <w:p>
            <w:pPr>
              <w:rPr>
                <w:sz w:val="24"/>
                <w:szCs w:val="24"/>
              </w:rPr>
            </w:pPr>
            <w:r>
              <w:rPr>
                <w:rFonts w:hint="eastAsia"/>
                <w:sz w:val="24"/>
                <w:szCs w:val="24"/>
              </w:rPr>
              <w:t>792.38</w:t>
            </w:r>
          </w:p>
        </w:tc>
        <w:tc>
          <w:tcPr>
            <w:tcW w:w="1276" w:type="dxa"/>
          </w:tcPr>
          <w:p>
            <w:pPr>
              <w:rPr>
                <w:sz w:val="18"/>
                <w:szCs w:val="18"/>
              </w:rPr>
            </w:pPr>
            <w:r>
              <w:rPr>
                <w:rFonts w:hint="eastAsia"/>
                <w:sz w:val="18"/>
                <w:szCs w:val="18"/>
              </w:rPr>
              <w:t>自然资源</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9</w:t>
            </w:r>
          </w:p>
        </w:tc>
        <w:tc>
          <w:tcPr>
            <w:tcW w:w="4544" w:type="dxa"/>
          </w:tcPr>
          <w:p>
            <w:pPr>
              <w:rPr>
                <w:sz w:val="24"/>
                <w:szCs w:val="24"/>
              </w:rPr>
            </w:pPr>
            <w:r>
              <w:rPr>
                <w:rFonts w:hint="eastAsia"/>
                <w:sz w:val="24"/>
                <w:szCs w:val="24"/>
              </w:rPr>
              <w:t>污水处理服务费项目</w:t>
            </w:r>
          </w:p>
        </w:tc>
        <w:tc>
          <w:tcPr>
            <w:tcW w:w="1276" w:type="dxa"/>
          </w:tcPr>
          <w:p>
            <w:pPr>
              <w:rPr>
                <w:sz w:val="24"/>
                <w:szCs w:val="24"/>
              </w:rPr>
            </w:pPr>
            <w:r>
              <w:rPr>
                <w:rFonts w:hint="eastAsia"/>
                <w:sz w:val="24"/>
                <w:szCs w:val="24"/>
              </w:rPr>
              <w:t>650</w:t>
            </w:r>
          </w:p>
        </w:tc>
        <w:tc>
          <w:tcPr>
            <w:tcW w:w="1276" w:type="dxa"/>
          </w:tcPr>
          <w:p>
            <w:pPr>
              <w:rPr>
                <w:sz w:val="18"/>
                <w:szCs w:val="18"/>
              </w:rPr>
            </w:pPr>
            <w:r>
              <w:rPr>
                <w:rFonts w:hint="eastAsia"/>
                <w:sz w:val="18"/>
                <w:szCs w:val="18"/>
              </w:rPr>
              <w:t>节能环保</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10</w:t>
            </w:r>
          </w:p>
        </w:tc>
        <w:tc>
          <w:tcPr>
            <w:tcW w:w="4544" w:type="dxa"/>
          </w:tcPr>
          <w:p>
            <w:pPr>
              <w:rPr>
                <w:sz w:val="24"/>
                <w:szCs w:val="24"/>
              </w:rPr>
            </w:pPr>
            <w:r>
              <w:rPr>
                <w:rFonts w:hint="eastAsia"/>
                <w:sz w:val="24"/>
                <w:szCs w:val="24"/>
              </w:rPr>
              <w:t>县城区停车场所建设项目</w:t>
            </w:r>
          </w:p>
        </w:tc>
        <w:tc>
          <w:tcPr>
            <w:tcW w:w="1276" w:type="dxa"/>
          </w:tcPr>
          <w:p>
            <w:pPr>
              <w:rPr>
                <w:sz w:val="24"/>
                <w:szCs w:val="24"/>
              </w:rPr>
            </w:pPr>
            <w:r>
              <w:rPr>
                <w:rFonts w:hint="eastAsia"/>
                <w:sz w:val="24"/>
                <w:szCs w:val="24"/>
              </w:rPr>
              <w:t>1385.553</w:t>
            </w:r>
          </w:p>
        </w:tc>
        <w:tc>
          <w:tcPr>
            <w:tcW w:w="1276" w:type="dxa"/>
          </w:tcPr>
          <w:p>
            <w:pPr>
              <w:rPr>
                <w:sz w:val="18"/>
                <w:szCs w:val="18"/>
              </w:rPr>
            </w:pPr>
            <w:r>
              <w:rPr>
                <w:rFonts w:hint="eastAsia"/>
                <w:sz w:val="18"/>
                <w:szCs w:val="18"/>
              </w:rPr>
              <w:t>保障性安居工程</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sz w:val="24"/>
                <w:szCs w:val="24"/>
              </w:rPr>
            </w:pPr>
            <w:r>
              <w:rPr>
                <w:rFonts w:hint="eastAsia"/>
                <w:sz w:val="24"/>
                <w:szCs w:val="24"/>
              </w:rPr>
              <w:t>11</w:t>
            </w:r>
          </w:p>
        </w:tc>
        <w:tc>
          <w:tcPr>
            <w:tcW w:w="4544" w:type="dxa"/>
          </w:tcPr>
          <w:p>
            <w:pPr>
              <w:rPr>
                <w:sz w:val="24"/>
                <w:szCs w:val="24"/>
              </w:rPr>
            </w:pPr>
            <w:r>
              <w:rPr>
                <w:rFonts w:hint="eastAsia"/>
                <w:sz w:val="24"/>
                <w:szCs w:val="24"/>
              </w:rPr>
              <w:t>教育信息化建设与应用服务项目</w:t>
            </w:r>
          </w:p>
        </w:tc>
        <w:tc>
          <w:tcPr>
            <w:tcW w:w="1276" w:type="dxa"/>
          </w:tcPr>
          <w:p>
            <w:pPr>
              <w:rPr>
                <w:sz w:val="24"/>
                <w:szCs w:val="24"/>
              </w:rPr>
            </w:pPr>
            <w:r>
              <w:rPr>
                <w:rFonts w:hint="eastAsia"/>
                <w:sz w:val="24"/>
                <w:szCs w:val="24"/>
              </w:rPr>
              <w:t>800</w:t>
            </w:r>
          </w:p>
        </w:tc>
        <w:tc>
          <w:tcPr>
            <w:tcW w:w="1276" w:type="dxa"/>
          </w:tcPr>
          <w:p>
            <w:pPr>
              <w:rPr>
                <w:sz w:val="18"/>
                <w:szCs w:val="18"/>
              </w:rPr>
            </w:pPr>
            <w:r>
              <w:rPr>
                <w:rFonts w:hint="eastAsia"/>
                <w:sz w:val="18"/>
                <w:szCs w:val="18"/>
              </w:rPr>
              <w:t>教育</w:t>
            </w:r>
          </w:p>
        </w:tc>
        <w:tc>
          <w:tcPr>
            <w:tcW w:w="1701" w:type="dxa"/>
            <w:shd w:val="clear" w:color="auto" w:fill="auto"/>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rPr>
                <w:b/>
                <w:sz w:val="24"/>
                <w:szCs w:val="24"/>
              </w:rPr>
            </w:pPr>
          </w:p>
        </w:tc>
        <w:tc>
          <w:tcPr>
            <w:tcW w:w="4544" w:type="dxa"/>
          </w:tcPr>
          <w:p>
            <w:pPr>
              <w:ind w:firstLine="1084" w:firstLineChars="450"/>
              <w:rPr>
                <w:b/>
                <w:sz w:val="24"/>
                <w:szCs w:val="24"/>
              </w:rPr>
            </w:pPr>
            <w:r>
              <w:rPr>
                <w:rFonts w:hint="eastAsia"/>
                <w:b/>
                <w:sz w:val="24"/>
                <w:szCs w:val="24"/>
              </w:rPr>
              <w:t>合             计</w:t>
            </w:r>
          </w:p>
        </w:tc>
        <w:tc>
          <w:tcPr>
            <w:tcW w:w="1276" w:type="dxa"/>
          </w:tcPr>
          <w:p>
            <w:pPr>
              <w:rPr>
                <w:b/>
                <w:sz w:val="24"/>
                <w:szCs w:val="24"/>
              </w:rPr>
            </w:pPr>
            <w:r>
              <w:rPr>
                <w:rFonts w:hint="eastAsia"/>
                <w:b/>
                <w:sz w:val="24"/>
                <w:szCs w:val="24"/>
              </w:rPr>
              <w:t>9051.814</w:t>
            </w:r>
          </w:p>
        </w:tc>
        <w:tc>
          <w:tcPr>
            <w:tcW w:w="1276" w:type="dxa"/>
          </w:tcPr>
          <w:p>
            <w:pPr>
              <w:rPr>
                <w:b/>
                <w:sz w:val="24"/>
                <w:szCs w:val="24"/>
              </w:rPr>
            </w:pPr>
          </w:p>
        </w:tc>
        <w:tc>
          <w:tcPr>
            <w:tcW w:w="1701" w:type="dxa"/>
            <w:shd w:val="clear" w:color="auto" w:fill="auto"/>
          </w:tcPr>
          <w:p>
            <w:pPr>
              <w:widowControl/>
              <w:jc w:val="left"/>
              <w:rPr>
                <w:b/>
                <w:sz w:val="24"/>
                <w:szCs w:val="24"/>
              </w:rPr>
            </w:pPr>
          </w:p>
        </w:tc>
      </w:tr>
    </w:tbl>
    <w:p>
      <w:pPr>
        <w:ind w:firstLine="800" w:firstLineChars="250"/>
        <w:rPr>
          <w:sz w:val="32"/>
          <w:szCs w:val="32"/>
        </w:rPr>
      </w:pPr>
      <w:r>
        <w:rPr>
          <w:sz w:val="32"/>
          <w:szCs w:val="32"/>
        </w:rPr>
        <w:t>2.</w:t>
      </w:r>
      <w:r>
        <w:rPr>
          <w:rFonts w:hint="eastAsia"/>
          <w:sz w:val="32"/>
          <w:szCs w:val="32"/>
        </w:rPr>
        <w:t>存在的问题</w:t>
      </w:r>
    </w:p>
    <w:p>
      <w:pPr>
        <w:ind w:firstLine="800" w:firstLineChars="250"/>
        <w:rPr>
          <w:sz w:val="32"/>
          <w:szCs w:val="32"/>
        </w:rPr>
      </w:pPr>
      <w:r>
        <w:rPr>
          <w:rFonts w:hint="eastAsia"/>
          <w:sz w:val="32"/>
          <w:szCs w:val="32"/>
        </w:rPr>
        <w:t>一是绩效概念摸糊。虽然预算绩效从</w:t>
      </w:r>
      <w:r>
        <w:rPr>
          <w:sz w:val="32"/>
          <w:szCs w:val="32"/>
        </w:rPr>
        <w:t>2008</w:t>
      </w:r>
      <w:r>
        <w:rPr>
          <w:rFonts w:hint="eastAsia"/>
          <w:sz w:val="32"/>
          <w:szCs w:val="32"/>
        </w:rPr>
        <w:t>年起在广东、上海等地试点，</w:t>
      </w:r>
      <w:r>
        <w:rPr>
          <w:sz w:val="32"/>
          <w:szCs w:val="32"/>
        </w:rPr>
        <w:t>2015</w:t>
      </w:r>
      <w:r>
        <w:rPr>
          <w:rFonts w:hint="eastAsia"/>
          <w:sz w:val="32"/>
          <w:szCs w:val="32"/>
        </w:rPr>
        <w:t>年又修改了《预算法》，将预算绩效管理纳入法治的领域，但由于我县的预算资金仍处于“吃饭财政”状态，部分单位的负责人及经办人还是固守原有资金预算模式，注重有无资金安排，对绩效理论学习不够、认识不清，从而对本部门本单位资金绩效管理未引起足够重视。</w:t>
      </w:r>
    </w:p>
    <w:p>
      <w:pPr>
        <w:ind w:firstLine="640" w:firstLineChars="200"/>
        <w:rPr>
          <w:sz w:val="32"/>
          <w:szCs w:val="32"/>
        </w:rPr>
      </w:pPr>
      <w:r>
        <w:rPr>
          <w:rFonts w:hint="eastAsia"/>
          <w:sz w:val="32"/>
          <w:szCs w:val="32"/>
        </w:rPr>
        <w:t>二是思想意识淡薄。由于预算绩效管理是新事物，部分预算部门、单位负责人对预算绩效管理认识不够，对绩效管理工作未能做到应有重视，对本部门本单位的绩效管理制度建设、指标设立、填报要求等设置不规范，要求不高，造成绩效填报内容不科学、不完整。</w:t>
      </w:r>
    </w:p>
    <w:p>
      <w:pPr>
        <w:ind w:firstLine="640" w:firstLineChars="200"/>
        <w:rPr>
          <w:sz w:val="32"/>
          <w:szCs w:val="32"/>
        </w:rPr>
      </w:pPr>
      <w:r>
        <w:rPr>
          <w:rFonts w:hint="eastAsia"/>
          <w:sz w:val="32"/>
          <w:szCs w:val="32"/>
        </w:rPr>
        <w:t>三是追责问责机制缺位。目前，县级政府并没有制定详细、可操作的追责问责管理办法，指标评价标准确定难度大，对资金效率低效、无效的界定主观性偏强，容易产生分歧，以致资金使用者对绩效高低无畏惧之心。</w:t>
      </w:r>
    </w:p>
    <w:p>
      <w:pPr>
        <w:ind w:firstLine="640" w:firstLineChars="200"/>
        <w:rPr>
          <w:sz w:val="32"/>
          <w:szCs w:val="32"/>
        </w:rPr>
      </w:pPr>
      <w:r>
        <w:rPr>
          <w:rFonts w:hint="eastAsia"/>
          <w:sz w:val="32"/>
          <w:szCs w:val="32"/>
        </w:rPr>
        <w:t>四是绩效队伍薄弱。我县财政绩效管理股职责内容多，包含了会计事务、会计信息质量检查、资金运行监控、互联网</w:t>
      </w:r>
      <w:r>
        <w:rPr>
          <w:sz w:val="32"/>
          <w:szCs w:val="32"/>
        </w:rPr>
        <w:t>+</w:t>
      </w:r>
      <w:r>
        <w:rPr>
          <w:rFonts w:hint="eastAsia"/>
          <w:sz w:val="32"/>
          <w:szCs w:val="32"/>
        </w:rPr>
        <w:t>监管等职责，而人员结构老龄化及非专业化严重，除</w:t>
      </w:r>
      <w:r>
        <w:rPr>
          <w:sz w:val="32"/>
          <w:szCs w:val="32"/>
        </w:rPr>
        <w:t>1</w:t>
      </w:r>
      <w:r>
        <w:rPr>
          <w:rFonts w:hint="eastAsia"/>
          <w:sz w:val="32"/>
          <w:szCs w:val="32"/>
        </w:rPr>
        <w:t>人是刚从学校毕业的年轻人，其他都超过</w:t>
      </w:r>
      <w:r>
        <w:rPr>
          <w:sz w:val="32"/>
          <w:szCs w:val="32"/>
        </w:rPr>
        <w:t>47</w:t>
      </w:r>
      <w:r>
        <w:rPr>
          <w:rFonts w:hint="eastAsia"/>
          <w:sz w:val="32"/>
          <w:szCs w:val="32"/>
        </w:rPr>
        <w:t>岁。再加上老同志对新业务接受能力差，又不懂电脑操作，给绩效管理工作带来很多困难。另外，目前的绩效管理改革推进工作只停留在财政部门，在政府层面上的推进绩效改革力度仍有待加强，部分的预算单位在认识程度上的不到位，使预算绩效管理工作的推进阻力加大。</w:t>
      </w:r>
    </w:p>
    <w:p>
      <w:pPr>
        <w:ind w:firstLine="640" w:firstLineChars="200"/>
        <w:rPr>
          <w:sz w:val="32"/>
          <w:szCs w:val="32"/>
        </w:rPr>
      </w:pPr>
      <w:r>
        <w:rPr>
          <w:rFonts w:hint="eastAsia"/>
          <w:sz w:val="32"/>
          <w:szCs w:val="32"/>
        </w:rPr>
        <w:t>3.建议</w:t>
      </w:r>
    </w:p>
    <w:p>
      <w:pPr>
        <w:ind w:firstLine="640" w:firstLineChars="200"/>
        <w:rPr>
          <w:sz w:val="32"/>
          <w:szCs w:val="32"/>
        </w:rPr>
      </w:pPr>
      <w:r>
        <w:rPr>
          <w:rFonts w:hint="eastAsia"/>
          <w:sz w:val="32"/>
          <w:szCs w:val="32"/>
        </w:rPr>
        <w:t>一是以法治形式强化学习。将绩效管理工作纳入“学习强国”、法治考试等内容中，以增强各级政府各地民众对资金绩效的认识。中央八项规定明确不能铺张浪费，讲求绩效也是反对铺张浪费的其中内容之一。特别是当今受新冠疫情的影响，全球经济不稳定，政府资金更是要用在刀刃上，以绩效的理念管理财政资金迫在眉睫。</w:t>
      </w:r>
    </w:p>
    <w:p>
      <w:pPr>
        <w:ind w:firstLine="640" w:firstLineChars="200"/>
        <w:rPr>
          <w:sz w:val="32"/>
          <w:szCs w:val="32"/>
        </w:rPr>
      </w:pPr>
      <w:r>
        <w:rPr>
          <w:rFonts w:hint="eastAsia"/>
          <w:sz w:val="32"/>
          <w:szCs w:val="32"/>
        </w:rPr>
        <w:t>二是建立健全追责问职机制。由上级政府部门以法治的形式制定统一的追责问职机制，各基层严格贯彻落实，增强资金绩效概念的权威性，使各级各部门树立绩效管理理念。</w:t>
      </w:r>
    </w:p>
    <w:p>
      <w:pPr>
        <w:ind w:firstLine="640" w:firstLineChars="200"/>
        <w:rPr>
          <w:sz w:val="32"/>
          <w:szCs w:val="32"/>
        </w:rPr>
      </w:pPr>
      <w:r>
        <w:rPr>
          <w:rFonts w:hint="eastAsia"/>
          <w:sz w:val="32"/>
          <w:szCs w:val="32"/>
        </w:rPr>
        <w:t>三是培训绩效管理专业队伍。目前各级财政部门的绩效管理工作人员大多是原财政监督科室的人员，没有受过专业的培训，缺乏绩效管理知识。建议由上级主管部门组织各级绩效管理队伍进行系统性地学习、培训，提高各级绩效管理队伍业务水平。</w:t>
      </w:r>
    </w:p>
    <w:p>
      <w:pPr>
        <w:ind w:firstLine="640" w:firstLineChars="200"/>
        <w:rPr>
          <w:sz w:val="32"/>
          <w:szCs w:val="32"/>
        </w:rPr>
      </w:pPr>
      <w:r>
        <w:rPr>
          <w:rFonts w:hint="eastAsia"/>
          <w:sz w:val="32"/>
          <w:szCs w:val="32"/>
        </w:rPr>
        <w:t>4.下一步工作计划</w:t>
      </w:r>
    </w:p>
    <w:p>
      <w:pPr>
        <w:ind w:firstLine="640" w:firstLineChars="200"/>
        <w:rPr>
          <w:rFonts w:cs="宋体"/>
          <w:sz w:val="32"/>
          <w:szCs w:val="32"/>
        </w:rPr>
      </w:pPr>
      <w:r>
        <w:rPr>
          <w:rFonts w:hint="eastAsia"/>
          <w:sz w:val="32"/>
          <w:szCs w:val="32"/>
        </w:rPr>
        <w:t>一是按照省、市政府绩效管理意见，积极推进绩效管理。2021年</w:t>
      </w:r>
      <w:r>
        <w:rPr>
          <w:rFonts w:hint="eastAsia" w:cs="宋体"/>
          <w:sz w:val="32"/>
          <w:szCs w:val="32"/>
        </w:rPr>
        <w:t>加快构建全方位、全过程、全覆盖的预算绩效管理体系，试编</w:t>
      </w:r>
      <w:r>
        <w:rPr>
          <w:sz w:val="32"/>
          <w:szCs w:val="32"/>
        </w:rPr>
        <w:t>2021</w:t>
      </w:r>
      <w:r>
        <w:rPr>
          <w:rFonts w:hint="eastAsia" w:cs="宋体"/>
          <w:sz w:val="32"/>
          <w:szCs w:val="32"/>
        </w:rPr>
        <w:t>年政府性基金预算、国有资本经营预算、社会保险基金预算、政府和社会资本合作绩效目标。</w:t>
      </w:r>
    </w:p>
    <w:p>
      <w:pPr>
        <w:ind w:firstLine="640" w:firstLineChars="200"/>
        <w:rPr>
          <w:rFonts w:cs="Times New Roman"/>
          <w:sz w:val="32"/>
          <w:szCs w:val="32"/>
        </w:rPr>
      </w:pPr>
      <w:r>
        <w:rPr>
          <w:rFonts w:hint="eastAsia" w:cs="宋体"/>
          <w:sz w:val="32"/>
          <w:szCs w:val="32"/>
        </w:rPr>
        <w:t>二是积极推进绩效管理信息系统上线运行，采取日常动态监管和绩效跟踪，切实履行好绩效评价职能，深化预算绩效管理。</w:t>
      </w:r>
    </w:p>
    <w:p>
      <w:pPr>
        <w:ind w:firstLine="5760" w:firstLineChars="1800"/>
        <w:rPr>
          <w:sz w:val="32"/>
          <w:szCs w:val="32"/>
        </w:rPr>
      </w:pPr>
    </w:p>
    <w:p>
      <w:pPr>
        <w:ind w:firstLine="5760" w:firstLineChars="1800"/>
        <w:rPr>
          <w:sz w:val="32"/>
          <w:szCs w:val="32"/>
        </w:rPr>
      </w:pPr>
    </w:p>
    <w:p>
      <w:pPr>
        <w:rPr>
          <w:sz w:val="32"/>
          <w:szCs w:val="32"/>
        </w:rPr>
      </w:pPr>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NGFiN2I5ZTM5MTJlZjIyMDNjYjYyMTg1ZGMxNmEifQ=="/>
  </w:docVars>
  <w:rsids>
    <w:rsidRoot w:val="00083998"/>
    <w:rsid w:val="00017ED3"/>
    <w:rsid w:val="00052C5A"/>
    <w:rsid w:val="00083998"/>
    <w:rsid w:val="000C7B6A"/>
    <w:rsid w:val="000E474B"/>
    <w:rsid w:val="001051D8"/>
    <w:rsid w:val="00110F39"/>
    <w:rsid w:val="0013008B"/>
    <w:rsid w:val="001356E2"/>
    <w:rsid w:val="00135F3C"/>
    <w:rsid w:val="00145E35"/>
    <w:rsid w:val="001631E4"/>
    <w:rsid w:val="001B06FA"/>
    <w:rsid w:val="001B28B4"/>
    <w:rsid w:val="001E37C9"/>
    <w:rsid w:val="00210FF2"/>
    <w:rsid w:val="0021167C"/>
    <w:rsid w:val="00216706"/>
    <w:rsid w:val="0027411E"/>
    <w:rsid w:val="002824C0"/>
    <w:rsid w:val="00315F00"/>
    <w:rsid w:val="00333F40"/>
    <w:rsid w:val="00354DC2"/>
    <w:rsid w:val="00373D62"/>
    <w:rsid w:val="003D0788"/>
    <w:rsid w:val="003D5A55"/>
    <w:rsid w:val="003E2390"/>
    <w:rsid w:val="00421389"/>
    <w:rsid w:val="00435118"/>
    <w:rsid w:val="004574EC"/>
    <w:rsid w:val="004A68E1"/>
    <w:rsid w:val="004B4FCA"/>
    <w:rsid w:val="004C2489"/>
    <w:rsid w:val="004D461E"/>
    <w:rsid w:val="004D5B28"/>
    <w:rsid w:val="00567F0E"/>
    <w:rsid w:val="005E3341"/>
    <w:rsid w:val="00610914"/>
    <w:rsid w:val="00612DEF"/>
    <w:rsid w:val="006417C6"/>
    <w:rsid w:val="00656F6E"/>
    <w:rsid w:val="006A7B43"/>
    <w:rsid w:val="006B2070"/>
    <w:rsid w:val="00732C24"/>
    <w:rsid w:val="00762E86"/>
    <w:rsid w:val="00797D21"/>
    <w:rsid w:val="007A450B"/>
    <w:rsid w:val="00815CA6"/>
    <w:rsid w:val="00845134"/>
    <w:rsid w:val="008A796E"/>
    <w:rsid w:val="008B1D70"/>
    <w:rsid w:val="0093112F"/>
    <w:rsid w:val="009F3B5D"/>
    <w:rsid w:val="00A60735"/>
    <w:rsid w:val="00A6412C"/>
    <w:rsid w:val="00A67660"/>
    <w:rsid w:val="00AA7F27"/>
    <w:rsid w:val="00B32D92"/>
    <w:rsid w:val="00B452D4"/>
    <w:rsid w:val="00B52CE1"/>
    <w:rsid w:val="00B62218"/>
    <w:rsid w:val="00BE4C51"/>
    <w:rsid w:val="00C34CEC"/>
    <w:rsid w:val="00C56208"/>
    <w:rsid w:val="00C6783F"/>
    <w:rsid w:val="00C83F66"/>
    <w:rsid w:val="00CD63E5"/>
    <w:rsid w:val="00CF6FC1"/>
    <w:rsid w:val="00D4660C"/>
    <w:rsid w:val="00D52F64"/>
    <w:rsid w:val="00D67A32"/>
    <w:rsid w:val="00D85464"/>
    <w:rsid w:val="00D94267"/>
    <w:rsid w:val="00E12A20"/>
    <w:rsid w:val="00E62272"/>
    <w:rsid w:val="00E66E85"/>
    <w:rsid w:val="00E75E67"/>
    <w:rsid w:val="00F03A0A"/>
    <w:rsid w:val="00F65FCC"/>
    <w:rsid w:val="00FB372D"/>
    <w:rsid w:val="00FC459F"/>
    <w:rsid w:val="00FC7CF9"/>
    <w:rsid w:val="1807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Calibri"/>
      <w:sz w:val="18"/>
      <w:szCs w:val="18"/>
    </w:rPr>
  </w:style>
  <w:style w:type="character" w:customStyle="1" w:styleId="8">
    <w:name w:val="页脚 Char"/>
    <w:basedOn w:val="6"/>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2928</Words>
  <Characters>3231</Characters>
  <Lines>23</Lines>
  <Paragraphs>6</Paragraphs>
  <TotalTime>2</TotalTime>
  <ScaleCrop>false</ScaleCrop>
  <LinksUpToDate>false</LinksUpToDate>
  <CharactersWithSpaces>3254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2020-12-24T07:35:00Z</dcterms:created>
  <dc:creator>Windows 用户</dc:creator>
  <cp:lastModifiedBy>Administrator</cp:lastModifiedBy>
  <dcterms:modified xsi:type="dcterms:W3CDTF">2022-08-29T08:32:25Z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F57D282FDD2843AEB29D2F37C38A5053</vt:lpwstr>
  </property>
</Properties>
</file>