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Times New Roman" w:hAnsi="Times New Roman" w:eastAsia="方正小标宋简体"/>
          <w:sz w:val="44"/>
          <w:szCs w:val="21"/>
          <w:lang w:eastAsia="zh-CN"/>
        </w:rPr>
      </w:pPr>
      <w:bookmarkStart w:id="0" w:name="_GoBack"/>
      <w:r>
        <w:rPr>
          <w:rFonts w:hint="eastAsia" w:ascii="Times New Roman" w:hAnsi="Times New Roman" w:eastAsia="方正小标宋简体"/>
          <w:sz w:val="44"/>
          <w:szCs w:val="21"/>
          <w:lang w:val="en-US" w:eastAsia="zh-CN"/>
        </w:rPr>
        <w:t>2023年崇义县第三批数字技术应用场景</w:t>
      </w:r>
      <w:r>
        <w:rPr>
          <w:rFonts w:hint="eastAsia" w:ascii="Times New Roman" w:hAnsi="Times New Roman" w:eastAsia="方正小标宋简体"/>
          <w:sz w:val="44"/>
          <w:szCs w:val="21"/>
          <w:lang w:eastAsia="zh-CN"/>
        </w:rPr>
        <w:t>机会清单</w:t>
      </w:r>
    </w:p>
    <w:bookmarkEnd w:id="0"/>
    <w:tbl>
      <w:tblPr>
        <w:tblStyle w:val="3"/>
        <w:tblW w:w="14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34"/>
        <w:gridCol w:w="840"/>
        <w:gridCol w:w="3068"/>
        <w:gridCol w:w="4275"/>
        <w:gridCol w:w="765"/>
        <w:gridCol w:w="1267"/>
        <w:gridCol w:w="97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黑体"/>
                <w:sz w:val="24"/>
                <w:szCs w:val="21"/>
              </w:rPr>
            </w:pPr>
            <w:r>
              <w:rPr>
                <w:rFonts w:hint="eastAsia" w:ascii="宋体" w:hAnsi="宋体" w:eastAsia="仿宋_GB2312" w:cs="仿宋_GB2312"/>
                <w:b/>
                <w:bCs/>
                <w:i w:val="0"/>
                <w:iCs w:val="0"/>
                <w:color w:val="000000"/>
                <w:kern w:val="0"/>
                <w:sz w:val="24"/>
                <w:szCs w:val="24"/>
                <w:u w:val="none"/>
                <w:lang w:val="en-US" w:eastAsia="zh-CN" w:bidi="ar"/>
              </w:rPr>
              <w:t>序号</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黑体"/>
                <w:sz w:val="24"/>
                <w:szCs w:val="21"/>
              </w:rPr>
            </w:pPr>
            <w:r>
              <w:rPr>
                <w:rFonts w:hint="eastAsia" w:ascii="宋体" w:hAnsi="宋体" w:eastAsia="仿宋_GB2312" w:cs="仿宋_GB2312"/>
                <w:b/>
                <w:bCs/>
                <w:i w:val="0"/>
                <w:iCs w:val="0"/>
                <w:color w:val="000000"/>
                <w:kern w:val="0"/>
                <w:sz w:val="24"/>
                <w:szCs w:val="24"/>
                <w:u w:val="none"/>
                <w:lang w:val="en-US" w:eastAsia="zh-CN" w:bidi="ar"/>
              </w:rPr>
              <w:t>场景名称</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黑体"/>
                <w:sz w:val="24"/>
                <w:szCs w:val="21"/>
              </w:rPr>
            </w:pPr>
            <w:r>
              <w:rPr>
                <w:rFonts w:hint="eastAsia" w:ascii="宋体" w:hAnsi="宋体" w:eastAsia="仿宋_GB2312" w:cs="仿宋_GB2312"/>
                <w:b/>
                <w:bCs/>
                <w:i w:val="0"/>
                <w:iCs w:val="0"/>
                <w:color w:val="000000"/>
                <w:kern w:val="0"/>
                <w:sz w:val="24"/>
                <w:szCs w:val="24"/>
                <w:u w:val="none"/>
                <w:lang w:val="en-US" w:eastAsia="zh-CN" w:bidi="ar"/>
              </w:rPr>
              <w:t>所属领域</w:t>
            </w:r>
          </w:p>
        </w:tc>
        <w:tc>
          <w:tcPr>
            <w:tcW w:w="30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黑体"/>
                <w:sz w:val="24"/>
                <w:szCs w:val="21"/>
              </w:rPr>
            </w:pPr>
            <w:r>
              <w:rPr>
                <w:rFonts w:hint="eastAsia" w:ascii="宋体" w:hAnsi="宋体" w:eastAsia="仿宋_GB2312" w:cs="仿宋_GB2312"/>
                <w:b/>
                <w:bCs/>
                <w:i w:val="0"/>
                <w:iCs w:val="0"/>
                <w:color w:val="000000"/>
                <w:kern w:val="0"/>
                <w:sz w:val="24"/>
                <w:szCs w:val="24"/>
                <w:u w:val="none"/>
                <w:lang w:val="en-US" w:eastAsia="zh-CN" w:bidi="ar"/>
              </w:rPr>
              <w:t>场景简介</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黑体"/>
                <w:sz w:val="24"/>
                <w:szCs w:val="21"/>
              </w:rPr>
            </w:pPr>
            <w:r>
              <w:rPr>
                <w:rFonts w:hint="eastAsia" w:ascii="宋体" w:hAnsi="宋体" w:eastAsia="仿宋_GB2312" w:cs="仿宋_GB2312"/>
                <w:b/>
                <w:bCs/>
                <w:i w:val="0"/>
                <w:iCs w:val="0"/>
                <w:color w:val="000000"/>
                <w:kern w:val="0"/>
                <w:sz w:val="24"/>
                <w:szCs w:val="24"/>
                <w:u w:val="none"/>
                <w:lang w:val="en-US" w:eastAsia="zh-CN" w:bidi="ar"/>
              </w:rPr>
              <w:t>需求内容</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黑体"/>
                <w:sz w:val="24"/>
                <w:szCs w:val="21"/>
              </w:rPr>
            </w:pPr>
            <w:r>
              <w:rPr>
                <w:rFonts w:hint="eastAsia" w:ascii="宋体" w:hAnsi="宋体" w:eastAsia="仿宋_GB2312" w:cs="仿宋_GB2312"/>
                <w:b/>
                <w:bCs/>
                <w:i w:val="0"/>
                <w:iCs w:val="0"/>
                <w:color w:val="000000"/>
                <w:kern w:val="0"/>
                <w:sz w:val="24"/>
                <w:szCs w:val="24"/>
                <w:u w:val="none"/>
                <w:lang w:val="en-US" w:eastAsia="zh-CN" w:bidi="ar"/>
              </w:rPr>
              <w:t>申报单位</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黑体"/>
                <w:sz w:val="24"/>
                <w:szCs w:val="21"/>
              </w:rPr>
            </w:pPr>
            <w:r>
              <w:rPr>
                <w:rFonts w:hint="eastAsia" w:ascii="宋体" w:hAnsi="宋体" w:eastAsia="仿宋_GB2312" w:cs="仿宋_GB2312"/>
                <w:b/>
                <w:bCs/>
                <w:i w:val="0"/>
                <w:iCs w:val="0"/>
                <w:color w:val="000000"/>
                <w:kern w:val="0"/>
                <w:sz w:val="24"/>
                <w:szCs w:val="24"/>
                <w:u w:val="none"/>
                <w:lang w:val="en-US" w:eastAsia="zh-CN" w:bidi="ar"/>
              </w:rPr>
              <w:t>联系人及电话</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仿宋_GB2312" w:cs="仿宋_GB2312"/>
                <w:b/>
                <w:bCs/>
                <w:i w:val="0"/>
                <w:iCs w:val="0"/>
                <w:color w:val="000000"/>
                <w:kern w:val="0"/>
                <w:sz w:val="24"/>
                <w:szCs w:val="24"/>
                <w:u w:val="none"/>
                <w:lang w:val="en-US" w:eastAsia="zh-CN" w:bidi="ar"/>
              </w:rPr>
            </w:pPr>
            <w:r>
              <w:rPr>
                <w:rFonts w:hint="eastAsia" w:ascii="宋体" w:hAnsi="宋体" w:eastAsia="仿宋_GB2312" w:cs="仿宋_GB2312"/>
                <w:b/>
                <w:bCs/>
                <w:i w:val="0"/>
                <w:iCs w:val="0"/>
                <w:color w:val="000000"/>
                <w:kern w:val="0"/>
                <w:sz w:val="24"/>
                <w:szCs w:val="24"/>
                <w:u w:val="none"/>
                <w:lang w:val="en-US" w:eastAsia="zh-CN" w:bidi="ar"/>
              </w:rPr>
              <w:t>邮箱</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仿宋_GB2312" w:cs="仿宋_GB2312"/>
                <w:b/>
                <w:bCs/>
                <w:i w:val="0"/>
                <w:iCs w:val="0"/>
                <w:color w:val="000000"/>
                <w:kern w:val="0"/>
                <w:sz w:val="24"/>
                <w:szCs w:val="24"/>
                <w:u w:val="none"/>
                <w:lang w:val="en-US" w:eastAsia="zh-CN" w:bidi="ar"/>
              </w:rPr>
            </w:pPr>
            <w:r>
              <w:rPr>
                <w:rFonts w:hint="eastAsia" w:ascii="宋体" w:hAnsi="宋体" w:eastAsia="仿宋_GB2312" w:cs="仿宋_GB2312"/>
                <w:b/>
                <w:bCs/>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z w:val="24"/>
                <w:szCs w:val="21"/>
                <w:lang w:val="en-US" w:eastAsia="zh-CN"/>
              </w:rPr>
            </w:pPr>
            <w:r>
              <w:rPr>
                <w:rFonts w:hint="eastAsia" w:ascii="宋体" w:hAnsi="宋体" w:eastAsia="宋体"/>
                <w:sz w:val="24"/>
                <w:szCs w:val="21"/>
                <w:lang w:val="en-US" w:eastAsia="zh-CN"/>
              </w:rPr>
              <w:t>1</w:t>
            </w:r>
          </w:p>
        </w:tc>
        <w:tc>
          <w:tcPr>
            <w:tcW w:w="1434" w:type="dxa"/>
            <w:tcBorders>
              <w:left w:val="single" w:color="auto" w:sz="4" w:space="0"/>
              <w:right w:val="single" w:color="auto" w:sz="4" w:space="0"/>
            </w:tcBorders>
            <w:noWrap w:val="0"/>
            <w:vAlign w:val="center"/>
          </w:tcPr>
          <w:p>
            <w:pPr>
              <w:widowControl/>
              <w:jc w:val="center"/>
              <w:rPr>
                <w:rFonts w:ascii="宋体" w:hAnsi="宋体" w:eastAsia="Times New Roman" w:cs="Times New Roman"/>
                <w:kern w:val="2"/>
                <w:sz w:val="28"/>
                <w:szCs w:val="21"/>
                <w:lang w:val="en-US" w:eastAsia="zh-CN" w:bidi="ar-SA"/>
              </w:rPr>
            </w:pPr>
            <w:r>
              <w:rPr>
                <w:rFonts w:hint="eastAsia" w:ascii="仿宋_GB2312" w:hAnsi="仿宋_GB2312" w:eastAsia="仿宋_GB2312" w:cs="仿宋_GB2312"/>
                <w:sz w:val="24"/>
                <w:szCs w:val="20"/>
                <w:lang w:val="en-US" w:eastAsia="zh-CN"/>
              </w:rPr>
              <w:t>完整社区</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cs="Times New Roman"/>
                <w:kern w:val="2"/>
                <w:sz w:val="28"/>
                <w:szCs w:val="21"/>
                <w:lang w:val="en-US" w:eastAsia="zh-CN" w:bidi="ar-SA"/>
              </w:rPr>
            </w:pPr>
            <w:r>
              <w:rPr>
                <w:rFonts w:hint="eastAsia" w:ascii="仿宋_GB2312" w:hAnsi="仿宋_GB2312" w:eastAsia="仿宋_GB2312" w:cs="仿宋_GB2312"/>
                <w:sz w:val="24"/>
                <w:szCs w:val="20"/>
                <w:lang w:val="en-US" w:eastAsia="zh-CN"/>
              </w:rPr>
              <w:t>智慧社区</w:t>
            </w:r>
          </w:p>
        </w:tc>
        <w:tc>
          <w:tcPr>
            <w:tcW w:w="30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Times New Roman" w:cs="Times New Roman"/>
                <w:kern w:val="2"/>
                <w:sz w:val="28"/>
                <w:szCs w:val="21"/>
                <w:lang w:val="en-US" w:eastAsia="zh-CN" w:bidi="ar-SA"/>
              </w:rPr>
            </w:pPr>
            <w:r>
              <w:rPr>
                <w:rFonts w:hint="eastAsia" w:ascii="仿宋_GB2312" w:hAnsi="仿宋_GB2312" w:eastAsia="仿宋_GB2312" w:cs="仿宋_GB2312"/>
                <w:sz w:val="24"/>
                <w:szCs w:val="20"/>
                <w:lang w:val="en-US" w:eastAsia="zh-CN"/>
              </w:rPr>
              <w:t>完整社区服务系统依托基础支撑服务能力，实现服务管理覆盖。以线上渠道受理、事件协同调度、全流程闭环监管、多维度评估考核、高效化联动指挥、可视化决策研判、各类组织积极协同、党员群众广泛参与为核心，打造政民互通互动、高位协同的基层治理服务。</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val="en-US" w:eastAsia="zh-CN"/>
              </w:rPr>
              <w:t>一、</w:t>
            </w:r>
            <w:r>
              <w:rPr>
                <w:rFonts w:hint="eastAsia" w:ascii="仿宋_GB2312" w:hAnsi="仿宋_GB2312" w:eastAsia="仿宋_GB2312" w:cs="仿宋_GB2312"/>
                <w:sz w:val="24"/>
                <w:szCs w:val="20"/>
                <w:lang w:eastAsia="zh-CN"/>
              </w:rPr>
              <w:t>建设内容：</w:t>
            </w:r>
            <w:r>
              <w:rPr>
                <w:rFonts w:hint="eastAsia" w:ascii="仿宋_GB2312" w:hAnsi="仿宋_GB2312" w:eastAsia="仿宋_GB2312" w:cs="仿宋_GB2312"/>
                <w:sz w:val="24"/>
                <w:szCs w:val="20"/>
                <w:lang w:val="en-US" w:eastAsia="zh-CN"/>
              </w:rPr>
              <w:t>平台是基于住建完整社区建设理念开发而成，整套系统包含完整社区平台、“小翼的家”居民端小程序、网格员端公众号，通过服务好党建强基、基层治理、智慧安防、便民服务、智慧物业等核心场景，致力于社区居民安全感和满意度双提升。</w:t>
            </w:r>
          </w:p>
          <w:p>
            <w:pPr>
              <w:widowControl/>
              <w:jc w:val="left"/>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val="en-US" w:eastAsia="zh-CN"/>
              </w:rPr>
              <w:t>二、</w:t>
            </w:r>
            <w:r>
              <w:rPr>
                <w:rFonts w:hint="eastAsia" w:ascii="仿宋_GB2312" w:hAnsi="仿宋_GB2312" w:eastAsia="仿宋_GB2312" w:cs="仿宋_GB2312"/>
                <w:sz w:val="24"/>
                <w:szCs w:val="20"/>
                <w:lang w:eastAsia="zh-CN"/>
              </w:rPr>
              <w:t>投资规模：</w:t>
            </w:r>
            <w:r>
              <w:rPr>
                <w:rFonts w:hint="eastAsia" w:ascii="仿宋_GB2312" w:hAnsi="仿宋_GB2312" w:eastAsia="仿宋_GB2312" w:cs="仿宋_GB2312"/>
                <w:sz w:val="24"/>
                <w:szCs w:val="20"/>
                <w:lang w:val="en-US" w:eastAsia="zh-CN"/>
              </w:rPr>
              <w:t>30.9</w:t>
            </w:r>
            <w:r>
              <w:rPr>
                <w:rFonts w:hint="eastAsia" w:ascii="仿宋_GB2312" w:hAnsi="仿宋_GB2312" w:eastAsia="仿宋_GB2312" w:cs="仿宋_GB2312"/>
                <w:sz w:val="24"/>
                <w:szCs w:val="20"/>
                <w:lang w:eastAsia="zh-CN"/>
              </w:rPr>
              <w:t>万元。</w:t>
            </w:r>
          </w:p>
          <w:p>
            <w:pPr>
              <w:widowControl/>
              <w:jc w:val="left"/>
              <w:rPr>
                <w:rFonts w:ascii="宋体" w:hAnsi="宋体" w:eastAsia="Times New Roman" w:cs="Times New Roman"/>
                <w:kern w:val="2"/>
                <w:sz w:val="28"/>
                <w:szCs w:val="21"/>
                <w:lang w:val="en-US" w:eastAsia="zh-CN" w:bidi="ar-SA"/>
              </w:rPr>
            </w:pPr>
            <w:r>
              <w:rPr>
                <w:rFonts w:hint="eastAsia" w:ascii="仿宋_GB2312" w:hAnsi="仿宋_GB2312" w:eastAsia="仿宋_GB2312" w:cs="仿宋_GB2312"/>
                <w:sz w:val="24"/>
                <w:szCs w:val="20"/>
                <w:lang w:val="en-US" w:eastAsia="zh-CN"/>
              </w:rPr>
              <w:t>三、</w:t>
            </w:r>
            <w:r>
              <w:rPr>
                <w:rFonts w:hint="eastAsia" w:ascii="仿宋_GB2312" w:hAnsi="仿宋_GB2312" w:eastAsia="仿宋_GB2312" w:cs="仿宋_GB2312"/>
                <w:sz w:val="24"/>
                <w:szCs w:val="20"/>
                <w:lang w:eastAsia="zh-CN"/>
              </w:rPr>
              <w:t>征集对象：具有</w:t>
            </w:r>
            <w:r>
              <w:rPr>
                <w:rFonts w:hint="eastAsia" w:ascii="仿宋_GB2312" w:hAnsi="仿宋_GB2312" w:eastAsia="仿宋_GB2312" w:cs="仿宋_GB2312"/>
                <w:sz w:val="24"/>
                <w:szCs w:val="20"/>
                <w:lang w:val="en-US" w:eastAsia="zh-CN"/>
              </w:rPr>
              <w:t>完整社区</w:t>
            </w:r>
            <w:r>
              <w:rPr>
                <w:rFonts w:hint="eastAsia" w:ascii="仿宋_GB2312" w:hAnsi="仿宋_GB2312" w:eastAsia="仿宋_GB2312" w:cs="仿宋_GB2312"/>
                <w:sz w:val="24"/>
                <w:szCs w:val="20"/>
                <w:lang w:eastAsia="zh-CN"/>
              </w:rPr>
              <w:t>建设能力的企业。</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cs="Times New Roman"/>
                <w:kern w:val="2"/>
                <w:sz w:val="28"/>
                <w:szCs w:val="21"/>
                <w:lang w:val="en-US" w:eastAsia="zh-CN" w:bidi="ar-SA"/>
              </w:rPr>
            </w:pPr>
            <w:r>
              <w:rPr>
                <w:rFonts w:hint="eastAsia" w:ascii="仿宋_GB2312" w:hAnsi="仿宋_GB2312" w:eastAsia="仿宋_GB2312" w:cs="仿宋_GB2312"/>
                <w:sz w:val="24"/>
                <w:szCs w:val="20"/>
                <w:lang w:val="en-US" w:eastAsia="zh-CN"/>
              </w:rPr>
              <w:t>崇义县城市社区管理委员会</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邓舜英13870713976</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cycssqgwh@163.com</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2</w:t>
            </w:r>
          </w:p>
        </w:tc>
        <w:tc>
          <w:tcPr>
            <w:tcW w:w="1434" w:type="dxa"/>
            <w:tcBorders>
              <w:left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智慧粮库</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智慧农业</w:t>
            </w:r>
          </w:p>
        </w:tc>
        <w:tc>
          <w:tcPr>
            <w:tcW w:w="30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智慧化粮库是基于物联网、云计算、大数据、人工智能、区块链等先进技术，整合业务管理、智能出入库、智能绿色仓储保管、智能立体安防、三维全景虚拟现实等业务流程的信息化管理综合平台。</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一、建设内容：建设绿色智能仓储保管系统、综合展示交互系统、移动应用系统，打造出国内一流、省内领先的智能化、信息化绿色储粮示范库，使用全新3D技术，VR视角，展示全库区的粮食状态、设备状态、监控状态。</w:t>
            </w:r>
          </w:p>
          <w:p>
            <w:pPr>
              <w:widowControl/>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二、投资规模：1500万元。             三、征集对象：具有智慧粮库建设能力的企业。</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崇义县农业农村局</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曾昭锋19142181930</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cyxnlj@163.com</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3</w:t>
            </w:r>
          </w:p>
        </w:tc>
        <w:tc>
          <w:tcPr>
            <w:tcW w:w="1434" w:type="dxa"/>
            <w:tcBorders>
              <w:left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智慧矿山建设</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产业数字化转型</w:t>
            </w:r>
          </w:p>
        </w:tc>
        <w:tc>
          <w:tcPr>
            <w:tcW w:w="30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新安子钨锡矿山通过应用新一代信息技术实现数字空间对矿山物理空间的采、选、尾全过程呈现、全周期可溯，实现全面感知、虚实交互、智能决策、 精准控制，最终实现矿山少人化、无人化。</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一、建设内容：（1）矿山井下一体化管控平台建设；（2）矿山5G通讯网络建设；（3）井下电机车无人驾驶系统；（4）选矿全流程自动控制系统建设；（5）井下采掘设备远程集中控制系统；（6）VR生产培训，应急演练；（6）3D数字孪生平台建设；</w:t>
            </w:r>
          </w:p>
          <w:p>
            <w:pPr>
              <w:widowControl/>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二、投资规模：7200万元</w:t>
            </w:r>
          </w:p>
          <w:p>
            <w:pPr>
              <w:widowControl/>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三、征集对象：具有井下智慧矿山项目建设能力的企业。</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崇义章源钨业股份有限公司</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徐天任</w:t>
            </w:r>
          </w:p>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15979795120</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zyxtr@achtecktool.com</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4</w:t>
            </w:r>
          </w:p>
        </w:tc>
        <w:tc>
          <w:tcPr>
            <w:tcW w:w="1434" w:type="dxa"/>
            <w:tcBorders>
              <w:left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应急安全智慧展厅</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社会安全</w:t>
            </w:r>
          </w:p>
        </w:tc>
        <w:tc>
          <w:tcPr>
            <w:tcW w:w="30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建设应急安全智慧展厅，利用多媒体、数字化、物联感知等技术，构建可面向公众开放的大场景沉浸式可交互智慧应急安全防范展厅，通过全景数字化展示，将崇义县应急安全防范现状、变化趋势、动态管控状况、治理成效等进行多维度展示。</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一、建设内容：建立自然灾害体验区、交通安全体验区、生命安全体验区、人防综合体验区、VR综合展示区、消防安全体验区、校园安全体验区、其他应急体验区，利用VR、AR技术打造体感互动的观光展览应用。</w:t>
            </w:r>
          </w:p>
          <w:p>
            <w:pPr>
              <w:widowControl/>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二、投资规模：1800万元。</w:t>
            </w:r>
          </w:p>
          <w:p>
            <w:pPr>
              <w:widowControl/>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三、征集对象：具有数字展厅、云上智慧系统建设能力的企业。</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崇义县应急管理局</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郭敏15979700891</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cyxfxb@163.com</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5</w:t>
            </w:r>
          </w:p>
        </w:tc>
        <w:tc>
          <w:tcPr>
            <w:tcW w:w="1434" w:type="dxa"/>
            <w:tcBorders>
              <w:left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智慧农贸市场</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数字政府</w:t>
            </w:r>
          </w:p>
        </w:tc>
        <w:tc>
          <w:tcPr>
            <w:tcW w:w="30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通过商户信息公示、食品安全智能检测、云音响监控等硬件设备与市场交易、食品溯源、信息查询、客流采集、广播等软件系统相结合，实现数字化管理和智能分析，推进基层治理精细化、数字化。</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一、建设内容：安装商户信息公示屏、电子溯源秤、监控摄像头、音响监控等设备，与后台智能系统有效结合，打造数字化生活应用场景。</w:t>
            </w:r>
          </w:p>
          <w:p>
            <w:pPr>
              <w:widowControl/>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二、投资规模：50万元</w:t>
            </w:r>
          </w:p>
          <w:p>
            <w:pPr>
              <w:widowControl/>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三、征集对象：具有数字（智慧）农贸市场软硬件系统建设能力的企业。</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崇义县龙勾乡人民政府</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熊胜</w:t>
            </w:r>
          </w:p>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15170791307</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cylgdzb@163.com</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6</w:t>
            </w:r>
          </w:p>
        </w:tc>
        <w:tc>
          <w:tcPr>
            <w:tcW w:w="1434" w:type="dxa"/>
            <w:tcBorders>
              <w:left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智慧养殖</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智慧农业</w:t>
            </w:r>
          </w:p>
        </w:tc>
        <w:tc>
          <w:tcPr>
            <w:tcW w:w="30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将先进的智能设备与软件技术应用到生猪养殖的各个环节，实现智能环控、智能饲喂、猪群异常状态报警等功能深度融合，并有完善的数据灾备方案，成功打造了“现代化、全封闭、可循环、无污染”的5G+智慧养殖应用场景。</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一、建设内容：打造一款专门针农牧行业猪场养殖殖业务的管理软件，包含种猪养殖管理、肉猪委托养殖（公司+基地+农户）系统。</w:t>
            </w:r>
          </w:p>
          <w:p>
            <w:pPr>
              <w:widowControl/>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二、投资规模：待定</w:t>
            </w:r>
          </w:p>
          <w:p>
            <w:pPr>
              <w:widowControl/>
              <w:jc w:val="left"/>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三、征集对象：具有智能养殖场软硬件系统建设能力的企业。</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崇义柯恩农牧有限公司</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王龙</w:t>
            </w:r>
          </w:p>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15270676657</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sz w:val="24"/>
                <w:szCs w:val="21"/>
                <w:lang w:val="en-US" w:eastAsia="zh-CN"/>
              </w:rPr>
            </w:pPr>
            <w:r>
              <w:rPr>
                <w:rFonts w:hint="eastAsia" w:ascii="仿宋_GB2312" w:hAnsi="仿宋_GB2312" w:eastAsia="仿宋_GB2312" w:cs="仿宋_GB2312"/>
                <w:sz w:val="24"/>
                <w:szCs w:val="21"/>
                <w:lang w:val="en-US" w:eastAsia="zh-CN"/>
              </w:rPr>
              <w:t>15270676657</w:t>
            </w:r>
            <w:r>
              <w:rPr>
                <w:rFonts w:hint="eastAsia" w:ascii="仿宋_GB2312" w:hAnsi="仿宋_GB2312" w:eastAsia="仿宋_GB2312" w:cs="仿宋_GB2312"/>
                <w:sz w:val="24"/>
                <w:szCs w:val="21"/>
                <w:lang w:val="en-US" w:eastAsia="zh-Hans"/>
              </w:rPr>
              <w:t>@</w:t>
            </w:r>
            <w:r>
              <w:rPr>
                <w:rFonts w:hint="eastAsia" w:ascii="仿宋_GB2312" w:hAnsi="仿宋_GB2312" w:eastAsia="仿宋_GB2312" w:cs="仿宋_GB2312"/>
                <w:sz w:val="24"/>
                <w:szCs w:val="21"/>
                <w:lang w:val="en-US" w:eastAsia="zh-CN"/>
              </w:rPr>
              <w:t>@139.com</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Times New Roman"/>
                <w:sz w:val="28"/>
                <w:szCs w:val="21"/>
              </w:rPr>
            </w:pPr>
          </w:p>
        </w:tc>
      </w:tr>
    </w:tbl>
    <w:p/>
    <w:sectPr>
      <w:pgSz w:w="16838" w:h="11906" w:orient="landscape"/>
      <w:pgMar w:top="1587" w:right="2098" w:bottom="1587"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yZTcwYTJkM2FhYzhmMGI0NGFlMjhkZjdlNmY4MzcifQ=="/>
  </w:docVars>
  <w:rsids>
    <w:rsidRoot w:val="28C4156B"/>
    <w:rsid w:val="28C41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auto"/>
      <w:ind w:firstLine="420"/>
      <w:jc w:val="left"/>
    </w:pPr>
    <w:rPr>
      <w:rFonts w:ascii="Times New Roman" w:hAnsi="Times New Roman"/>
      <w:kern w:val="0"/>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2023-10-25T07:25:00Z</dcterms:created>
  <dc:creator>廖颀</dc:creator>
  <cp:lastModifiedBy>廖颀</cp:lastModifiedBy>
  <dcterms:modified xsi:type="dcterms:W3CDTF">2023-10-25T07:26:37Z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D65AC63E63D845E78C65F8E99A97CC24_11</vt:lpwstr>
  </property>
</Properties>
</file>