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lang w:val="zh-TW" w:eastAsia="zh-CN" w:bidi="ar-SA"/>
        </w:rPr>
      </w:pPr>
      <w:bookmarkStart w:id="1" w:name="_GoBack"/>
      <w:bookmarkStart w:id="0" w:name="_Toc24724723"/>
      <w:r>
        <w:rPr>
          <w:rFonts w:hint="eastAsia" w:ascii="方正小标宋简体" w:hAnsi="方正小标宋简体" w:eastAsia="方正小标宋简体" w:cs="方正小标宋简体"/>
          <w:b w:val="0"/>
          <w:bCs w:val="0"/>
          <w:kern w:val="2"/>
          <w:sz w:val="32"/>
          <w:szCs w:val="32"/>
          <w:lang w:val="zh-TW" w:eastAsia="zh-CN" w:bidi="ar-SA"/>
        </w:rPr>
        <w:t>（十三）崇义县公共文化服务领域基层政务公开标准目录</w:t>
      </w:r>
      <w:bookmarkEnd w:id="0"/>
    </w:p>
    <w:p/>
    <w:tbl>
      <w:tblPr>
        <w:tblStyle w:val="5"/>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ign w:val="center"/>
          </w:tcPr>
          <w:p>
            <w:pPr>
              <w:widowControl/>
              <w:jc w:val="left"/>
              <w:rPr>
                <w:rFonts w:ascii="Times New Roman" w:hAnsi="Times New Roman"/>
                <w:color w:val="000000"/>
                <w:kern w:val="0"/>
                <w:sz w:val="22"/>
              </w:rPr>
            </w:pPr>
          </w:p>
        </w:tc>
        <w:tc>
          <w:tcPr>
            <w:tcW w:w="734"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shd w:val="clear" w:color="auto" w:fill="auto"/>
            <w:noWrap/>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ign w:val="center"/>
          </w:tcPr>
          <w:p>
            <w:pPr>
              <w:widowControl/>
              <w:jc w:val="left"/>
              <w:rPr>
                <w:rFonts w:ascii="黑体" w:hAnsi="宋体" w:eastAsia="黑体" w:cs="宋体"/>
                <w:color w:val="000000"/>
                <w:kern w:val="0"/>
                <w:sz w:val="22"/>
              </w:rPr>
            </w:pPr>
          </w:p>
        </w:tc>
        <w:tc>
          <w:tcPr>
            <w:tcW w:w="1814" w:type="dxa"/>
            <w:vMerge w:val="continue"/>
            <w:shd w:val="clear" w:color="auto" w:fill="auto"/>
            <w:noWrap/>
            <w:vAlign w:val="center"/>
          </w:tcPr>
          <w:p>
            <w:pPr>
              <w:widowControl/>
              <w:jc w:val="left"/>
              <w:rPr>
                <w:rFonts w:ascii="黑体" w:hAnsi="宋体" w:eastAsia="黑体" w:cs="宋体"/>
                <w:color w:val="000000"/>
                <w:kern w:val="0"/>
                <w:sz w:val="22"/>
              </w:rPr>
            </w:pPr>
          </w:p>
        </w:tc>
        <w:tc>
          <w:tcPr>
            <w:tcW w:w="1426" w:type="dxa"/>
            <w:vMerge w:val="continue"/>
            <w:shd w:val="clear" w:color="auto" w:fill="auto"/>
            <w:noWrap/>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ign w:val="center"/>
          </w:tcPr>
          <w:p>
            <w:pPr>
              <w:widowControl/>
              <w:jc w:val="left"/>
              <w:rPr>
                <w:rFonts w:ascii="黑体" w:hAnsi="宋体" w:eastAsia="黑体" w:cs="宋体"/>
                <w:kern w:val="0"/>
                <w:sz w:val="22"/>
              </w:rPr>
            </w:pPr>
          </w:p>
        </w:tc>
        <w:tc>
          <w:tcPr>
            <w:tcW w:w="72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noWra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r>
              <w:rPr>
                <w:rFonts w:hint="eastAsia" w:ascii="仿宋_GB2312" w:hAnsi="Times New Roman" w:eastAsia="仿宋_GB2312"/>
                <w:sz w:val="18"/>
                <w:szCs w:val="18"/>
              </w:rPr>
              <w:t xml:space="preserve">          </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《政府信息公开条例》、《江西省基本公共文化服务保障实施标准》</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《政府信息公开条例》、《江西省基本公共文化服务保障实施标准》</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shd w:val="clear" w:color="auto" w:fill="auto"/>
            <w:noWrap/>
            <w:vAlign w:val="center"/>
          </w:tcPr>
          <w:p>
            <w:pPr>
              <w:spacing w:line="240" w:lineRule="exact"/>
              <w:rPr>
                <w:rFonts w:ascii="仿宋_GB2312" w:hAnsi="Times New Roman" w:eastAsia="仿宋_GB2312"/>
                <w:sz w:val="18"/>
                <w:szCs w:val="18"/>
              </w:rPr>
            </w:pP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ign w:val="center"/>
          </w:tcPr>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宋体" w:eastAsia="仿宋_GB2312"/>
                <w:sz w:val="18"/>
                <w:szCs w:val="18"/>
              </w:rPr>
              <w:t>■</w:t>
            </w:r>
            <w:r>
              <w:rPr>
                <w:rFonts w:hint="eastAsia" w:ascii="仿宋_GB2312" w:hAnsi="仿宋_GB2312" w:eastAsia="仿宋_GB2312" w:cs="仿宋_GB2312"/>
                <w:kern w:val="2"/>
                <w:sz w:val="21"/>
                <w:szCs w:val="21"/>
                <w:lang w:val="zh-TW" w:eastAsia="zh-TW" w:bidi="ar-SA"/>
              </w:rPr>
              <w:t>政府网站</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政府公报</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□两微一端</w:t>
            </w:r>
            <w:r>
              <w:rPr>
                <w:rFonts w:hint="eastAsia" w:ascii="仿宋_GB2312" w:hAnsi="仿宋_GB2312" w:eastAsia="仿宋_GB2312" w:cs="仿宋_GB2312"/>
                <w:kern w:val="2"/>
                <w:sz w:val="21"/>
                <w:szCs w:val="21"/>
                <w:lang w:val="zh-TW" w:eastAsia="zh-TW" w:bidi="ar-SA"/>
              </w:rPr>
              <w:tab/>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发布会/听证会</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□广播电视</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□纸质媒体</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□公开查阅点</w:t>
            </w:r>
          </w:p>
          <w:p>
            <w:pPr>
              <w:pStyle w:val="9"/>
              <w:keepNext w:val="0"/>
              <w:keepLines w:val="0"/>
              <w:pageBreakBefore w:val="0"/>
              <w:widowControl w:val="0"/>
              <w:tabs>
                <w:tab w:val="left" w:pos="1229"/>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政务服务中心</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sym w:font="Wingdings 2" w:char="00A3"/>
            </w:r>
            <w:r>
              <w:rPr>
                <w:rFonts w:hint="eastAsia" w:ascii="仿宋_GB2312" w:hAnsi="仿宋_GB2312" w:eastAsia="仿宋_GB2312" w:cs="仿宋_GB2312"/>
                <w:kern w:val="2"/>
                <w:sz w:val="21"/>
                <w:szCs w:val="21"/>
                <w:lang w:val="zh-TW" w:eastAsia="zh-TW" w:bidi="ar-SA"/>
              </w:rPr>
              <w:t>便民服务站</w:t>
            </w:r>
          </w:p>
          <w:p>
            <w:pPr>
              <w:pStyle w:val="9"/>
              <w:keepNext w:val="0"/>
              <w:keepLines w:val="0"/>
              <w:pageBreakBefore w:val="0"/>
              <w:widowControl w:val="0"/>
              <w:tabs>
                <w:tab w:val="left" w:pos="1234"/>
              </w:tabs>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□入户/现场</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□社区/企事业单位/村公示栏（电子屏）</w:t>
            </w:r>
          </w:p>
          <w:p>
            <w:pPr>
              <w:pStyle w:val="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仿宋_GB2312" w:hAnsi="仿宋_GB2312" w:eastAsia="仿宋_GB2312" w:cs="仿宋_GB2312"/>
                <w:kern w:val="2"/>
                <w:sz w:val="21"/>
                <w:szCs w:val="21"/>
                <w:lang w:val="zh-TW" w:eastAsia="zh-TW" w:bidi="ar-SA"/>
              </w:rPr>
            </w:pPr>
            <w:r>
              <w:rPr>
                <w:rFonts w:hint="eastAsia" w:ascii="仿宋_GB2312" w:hAnsi="仿宋_GB2312" w:eastAsia="仿宋_GB2312" w:cs="仿宋_GB2312"/>
                <w:kern w:val="2"/>
                <w:sz w:val="21"/>
                <w:szCs w:val="21"/>
                <w:lang w:val="zh-TW" w:eastAsia="zh-TW" w:bidi="ar-SA"/>
              </w:rPr>
              <w:t xml:space="preserve">□精准推送 </w:t>
            </w:r>
          </w:p>
          <w:p>
            <w:pPr>
              <w:spacing w:line="240" w:lineRule="exact"/>
              <w:rPr>
                <w:rFonts w:ascii="仿宋_GB2312" w:hAnsi="Times New Roman" w:eastAsia="仿宋_GB2312"/>
                <w:sz w:val="18"/>
                <w:szCs w:val="18"/>
              </w:rPr>
            </w:pPr>
            <w:r>
              <w:rPr>
                <w:rFonts w:hint="eastAsia" w:ascii="仿宋_GB2312" w:hAnsi="仿宋_GB2312" w:eastAsia="仿宋_GB2312" w:cs="仿宋_GB2312"/>
                <w:kern w:val="2"/>
                <w:sz w:val="21"/>
                <w:szCs w:val="21"/>
                <w:lang w:val="zh-TW" w:eastAsia="zh-TW" w:bidi="ar-SA"/>
              </w:rPr>
              <w:t>□其他</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bl>
    <w:p>
      <w:pPr>
        <w:jc w:val="left"/>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86F1197"/>
    <w:rsid w:val="003D68A0"/>
    <w:rsid w:val="004550D2"/>
    <w:rsid w:val="00546E62"/>
    <w:rsid w:val="053F50C6"/>
    <w:rsid w:val="4C0874D6"/>
    <w:rsid w:val="59A649D2"/>
    <w:rsid w:val="686F1197"/>
    <w:rsid w:val="770633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 w:type="paragraph" w:customStyle="1" w:styleId="9">
    <w:name w:val="Other|1"/>
    <w:basedOn w:val="1"/>
    <w:qFormat/>
    <w:uiPriority w:val="0"/>
    <w:pPr>
      <w:spacing w:line="444" w:lineRule="auto"/>
      <w:ind w:firstLine="400"/>
      <w:jc w:val="left"/>
    </w:pPr>
    <w:rPr>
      <w:rFonts w:ascii="宋体" w:hAnsi="宋体" w:eastAsia="宋体" w:cs="Times New Roman"/>
      <w:sz w:val="28"/>
      <w:szCs w:val="28"/>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1313</Words>
  <Characters>7490</Characters>
  <Lines>62</Lines>
  <Paragraphs>17</Paragraphs>
  <TotalTime>0</TotalTime>
  <ScaleCrop>false</ScaleCrop>
  <LinksUpToDate>false</LinksUpToDate>
  <CharactersWithSpaces>8786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2020-11-12T07:12:00Z</dcterms:created>
  <dc:creator>Administrator</dc:creator>
  <cp:lastModifiedBy>郭惠瑜</cp:lastModifiedBy>
  <dcterms:modified xsi:type="dcterms:W3CDTF">2020-11-17T03:26:46Z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