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13" w:rsidRDefault="009D26DE">
      <w:pPr>
        <w:ind w:firstLineChars="400" w:firstLine="1280"/>
        <w:rPr>
          <w:rFonts w:ascii="仿宋_GB2312" w:eastAsia="仿宋_GB2312"/>
          <w:sz w:val="32"/>
          <w:szCs w:val="32"/>
        </w:rPr>
      </w:pPr>
      <w:bookmarkStart w:id="0" w:name="_GoBack"/>
      <w:bookmarkEnd w:id="0"/>
      <w:r>
        <w:rPr>
          <w:rFonts w:ascii="仿宋_GB2312" w:eastAsia="仿宋_GB2312" w:hint="eastAsia"/>
          <w:sz w:val="32"/>
          <w:szCs w:val="32"/>
        </w:rPr>
        <w:t>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潭乡人民政府2020年部门预算</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rPr>
          <w:rFonts w:ascii="仿宋_GB2312" w:eastAsia="仿宋_GB2312"/>
          <w:sz w:val="32"/>
          <w:szCs w:val="32"/>
        </w:rPr>
      </w:pPr>
      <w:r>
        <w:rPr>
          <w:rFonts w:ascii="仿宋_GB2312" w:eastAsia="仿宋_GB2312" w:hint="eastAsia"/>
          <w:sz w:val="32"/>
          <w:szCs w:val="32"/>
        </w:rPr>
        <w:t>目</w:t>
      </w:r>
      <w:r>
        <w:rPr>
          <w:rFonts w:eastAsia="仿宋_GB2312" w:hint="eastAsia"/>
          <w:sz w:val="32"/>
          <w:szCs w:val="32"/>
        </w:rPr>
        <w:t>  </w:t>
      </w:r>
      <w:r>
        <w:rPr>
          <w:rFonts w:ascii="仿宋_GB2312" w:eastAsia="仿宋_GB2312" w:hint="eastAsia"/>
          <w:sz w:val="32"/>
          <w:szCs w:val="32"/>
        </w:rPr>
        <w:t>录</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潭乡人民政府部门概况</w:t>
      </w:r>
    </w:p>
    <w:p w:rsidR="001F6413" w:rsidRDefault="009D26DE">
      <w:pPr>
        <w:rPr>
          <w:rFonts w:ascii="仿宋_GB2312" w:eastAsia="仿宋_GB2312"/>
          <w:sz w:val="32"/>
          <w:szCs w:val="32"/>
        </w:rPr>
      </w:pPr>
      <w:r>
        <w:rPr>
          <w:rFonts w:ascii="仿宋_GB2312" w:eastAsia="仿宋_GB2312" w:hint="eastAsia"/>
          <w:sz w:val="32"/>
          <w:szCs w:val="32"/>
        </w:rPr>
        <w:t>一、部门主要职责</w:t>
      </w:r>
    </w:p>
    <w:p w:rsidR="001F6413" w:rsidRDefault="009D26DE">
      <w:pPr>
        <w:rPr>
          <w:rFonts w:ascii="仿宋_GB2312" w:eastAsia="仿宋_GB2312"/>
          <w:sz w:val="32"/>
          <w:szCs w:val="32"/>
        </w:rPr>
      </w:pPr>
      <w:r>
        <w:rPr>
          <w:rFonts w:ascii="仿宋_GB2312" w:eastAsia="仿宋_GB2312" w:hint="eastAsia"/>
          <w:sz w:val="32"/>
          <w:szCs w:val="32"/>
        </w:rPr>
        <w:t>二、部门基本情况</w:t>
      </w:r>
    </w:p>
    <w:p w:rsidR="001F6413" w:rsidRDefault="009D26DE">
      <w:pPr>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潭乡人民政府2020年部门预算情况说明</w:t>
      </w:r>
    </w:p>
    <w:p w:rsidR="001F6413" w:rsidRDefault="009D26DE">
      <w:pPr>
        <w:rPr>
          <w:rFonts w:ascii="仿宋_GB2312" w:eastAsia="仿宋_GB2312"/>
          <w:sz w:val="32"/>
          <w:szCs w:val="32"/>
        </w:rPr>
      </w:pPr>
      <w:r>
        <w:rPr>
          <w:rFonts w:ascii="仿宋_GB2312" w:eastAsia="仿宋_GB2312" w:hint="eastAsia"/>
          <w:sz w:val="32"/>
          <w:szCs w:val="32"/>
        </w:rPr>
        <w:t>一、2020年部门预算收支情况说明</w:t>
      </w:r>
    </w:p>
    <w:p w:rsidR="001F6413" w:rsidRDefault="009D26DE">
      <w:pPr>
        <w:rPr>
          <w:rFonts w:ascii="仿宋_GB2312" w:eastAsia="仿宋_GB2312"/>
          <w:sz w:val="32"/>
          <w:szCs w:val="32"/>
        </w:rPr>
      </w:pPr>
      <w:r>
        <w:rPr>
          <w:rFonts w:ascii="仿宋_GB2312" w:eastAsia="仿宋_GB2312" w:hint="eastAsia"/>
          <w:sz w:val="32"/>
          <w:szCs w:val="32"/>
        </w:rPr>
        <w:t>二、2020年“三公”经费预算情况说明</w:t>
      </w:r>
    </w:p>
    <w:p w:rsidR="001F6413" w:rsidRDefault="009D26DE">
      <w:pPr>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潭乡人民政府2020年部门预算表</w:t>
      </w:r>
    </w:p>
    <w:p w:rsidR="001F6413" w:rsidRDefault="009D26DE">
      <w:pPr>
        <w:rPr>
          <w:rFonts w:ascii="仿宋_GB2312" w:eastAsia="仿宋_GB2312"/>
          <w:sz w:val="32"/>
          <w:szCs w:val="32"/>
        </w:rPr>
      </w:pPr>
      <w:r>
        <w:rPr>
          <w:rFonts w:ascii="仿宋_GB2312" w:eastAsia="仿宋_GB2312" w:hint="eastAsia"/>
          <w:sz w:val="32"/>
          <w:szCs w:val="32"/>
        </w:rPr>
        <w:t>一、收支预算总表</w:t>
      </w:r>
    </w:p>
    <w:p w:rsidR="001F6413" w:rsidRDefault="009D26DE">
      <w:pPr>
        <w:rPr>
          <w:rFonts w:ascii="仿宋_GB2312" w:eastAsia="仿宋_GB2312"/>
          <w:sz w:val="32"/>
          <w:szCs w:val="32"/>
        </w:rPr>
      </w:pPr>
      <w:r>
        <w:rPr>
          <w:rFonts w:ascii="仿宋_GB2312" w:eastAsia="仿宋_GB2312" w:hint="eastAsia"/>
          <w:sz w:val="32"/>
          <w:szCs w:val="32"/>
        </w:rPr>
        <w:t>二、部门收入总表</w:t>
      </w:r>
    </w:p>
    <w:p w:rsidR="001F6413" w:rsidRDefault="009D26DE">
      <w:pPr>
        <w:rPr>
          <w:rFonts w:ascii="仿宋_GB2312" w:eastAsia="仿宋_GB2312"/>
          <w:sz w:val="32"/>
          <w:szCs w:val="32"/>
        </w:rPr>
      </w:pPr>
      <w:r>
        <w:rPr>
          <w:rFonts w:ascii="仿宋_GB2312" w:eastAsia="仿宋_GB2312" w:hint="eastAsia"/>
          <w:sz w:val="32"/>
          <w:szCs w:val="32"/>
        </w:rPr>
        <w:t>三、部门支出总表</w:t>
      </w:r>
    </w:p>
    <w:p w:rsidR="001F6413" w:rsidRDefault="009D26DE">
      <w:pPr>
        <w:rPr>
          <w:rFonts w:ascii="仿宋_GB2312" w:eastAsia="仿宋_GB2312"/>
          <w:sz w:val="32"/>
          <w:szCs w:val="32"/>
        </w:rPr>
      </w:pPr>
      <w:r>
        <w:rPr>
          <w:rFonts w:ascii="仿宋_GB2312" w:eastAsia="仿宋_GB2312" w:hint="eastAsia"/>
          <w:sz w:val="32"/>
          <w:szCs w:val="32"/>
        </w:rPr>
        <w:t>四、财政拨款收支总表</w:t>
      </w:r>
    </w:p>
    <w:p w:rsidR="001F6413" w:rsidRDefault="009D26DE">
      <w:pPr>
        <w:rPr>
          <w:rFonts w:ascii="仿宋_GB2312" w:eastAsia="仿宋_GB2312"/>
          <w:sz w:val="32"/>
          <w:szCs w:val="32"/>
        </w:rPr>
      </w:pPr>
      <w:r>
        <w:rPr>
          <w:rFonts w:ascii="仿宋_GB2312" w:eastAsia="仿宋_GB2312" w:hint="eastAsia"/>
          <w:sz w:val="32"/>
          <w:szCs w:val="32"/>
        </w:rPr>
        <w:t>五、一般公共预算支出表</w:t>
      </w:r>
    </w:p>
    <w:p w:rsidR="001F6413" w:rsidRDefault="009D26DE">
      <w:pPr>
        <w:rPr>
          <w:rFonts w:ascii="仿宋_GB2312" w:eastAsia="仿宋_GB2312"/>
          <w:sz w:val="32"/>
          <w:szCs w:val="32"/>
        </w:rPr>
      </w:pPr>
      <w:r>
        <w:rPr>
          <w:rFonts w:ascii="仿宋_GB2312" w:eastAsia="仿宋_GB2312" w:hint="eastAsia"/>
          <w:sz w:val="32"/>
          <w:szCs w:val="32"/>
        </w:rPr>
        <w:t>六、一般公共预算基本支出表</w:t>
      </w:r>
    </w:p>
    <w:p w:rsidR="001F6413" w:rsidRDefault="009D26DE">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七、一般公共预算“三公”经费支出表</w:t>
      </w:r>
    </w:p>
    <w:p w:rsidR="001F6413" w:rsidRDefault="009D26DE">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八、政府性基金预算支出表</w:t>
      </w:r>
    </w:p>
    <w:p w:rsidR="001F6413" w:rsidRDefault="009D26DE">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ind w:firstLineChars="400" w:firstLine="1280"/>
        <w:rPr>
          <w:rFonts w:ascii="仿宋_GB2312" w:eastAsia="仿宋_GB2312"/>
          <w:sz w:val="32"/>
          <w:szCs w:val="32"/>
        </w:rPr>
      </w:pPr>
      <w:r>
        <w:rPr>
          <w:rFonts w:ascii="仿宋_GB2312" w:eastAsia="仿宋_GB2312" w:hint="eastAsia"/>
          <w:sz w:val="32"/>
          <w:szCs w:val="32"/>
        </w:rPr>
        <w:lastRenderedPageBreak/>
        <w:t>第一部分</w:t>
      </w:r>
      <w:r>
        <w:rPr>
          <w:rFonts w:eastAsia="仿宋_GB2312" w:hint="eastAsia"/>
          <w:sz w:val="32"/>
          <w:szCs w:val="32"/>
        </w:rPr>
        <w:t> </w:t>
      </w:r>
      <w:r>
        <w:rPr>
          <w:rFonts w:ascii="仿宋_GB2312" w:eastAsia="仿宋_GB2312" w:hint="eastAsia"/>
          <w:sz w:val="32"/>
          <w:szCs w:val="32"/>
        </w:rPr>
        <w:t>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潭乡人民政府概况</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numPr>
          <w:ilvl w:val="0"/>
          <w:numId w:val="1"/>
        </w:numPr>
        <w:adjustRightInd w:val="0"/>
        <w:snapToGrid w:val="0"/>
        <w:spacing w:line="600" w:lineRule="exact"/>
        <w:ind w:firstLine="630"/>
        <w:jc w:val="left"/>
        <w:rPr>
          <w:rFonts w:ascii="仿宋_GB2312" w:eastAsia="仿宋_GB2312"/>
          <w:sz w:val="32"/>
          <w:szCs w:val="32"/>
        </w:rPr>
      </w:pPr>
      <w:r>
        <w:rPr>
          <w:rFonts w:ascii="仿宋_GB2312" w:eastAsia="仿宋_GB2312" w:hint="eastAsia"/>
          <w:sz w:val="32"/>
          <w:szCs w:val="32"/>
        </w:rPr>
        <w:t>部门主要职责</w:t>
      </w:r>
    </w:p>
    <w:p w:rsidR="001F6413" w:rsidRDefault="009D26DE">
      <w:pPr>
        <w:adjustRightInd w:val="0"/>
        <w:snapToGrid w:val="0"/>
        <w:spacing w:line="600" w:lineRule="exact"/>
        <w:ind w:firstLineChars="200" w:firstLine="600"/>
        <w:jc w:val="left"/>
        <w:rPr>
          <w:rFonts w:ascii="仿宋" w:eastAsia="仿宋" w:hAnsi="仿宋"/>
          <w:sz w:val="30"/>
          <w:szCs w:val="30"/>
        </w:rPr>
      </w:pPr>
      <w:r>
        <w:rPr>
          <w:rFonts w:ascii="仿宋" w:eastAsia="仿宋" w:hAnsi="仿宋" w:hint="eastAsia"/>
          <w:sz w:val="30"/>
          <w:szCs w:val="30"/>
        </w:rPr>
        <w:t>崇义县</w:t>
      </w:r>
      <w:proofErr w:type="gramStart"/>
      <w:r>
        <w:rPr>
          <w:rFonts w:ascii="仿宋" w:eastAsia="仿宋" w:hAnsi="仿宋" w:hint="eastAsia"/>
          <w:sz w:val="30"/>
          <w:szCs w:val="30"/>
        </w:rPr>
        <w:t>麟</w:t>
      </w:r>
      <w:proofErr w:type="gramEnd"/>
      <w:r>
        <w:rPr>
          <w:rFonts w:ascii="仿宋" w:eastAsia="仿宋" w:hAnsi="仿宋" w:hint="eastAsia"/>
          <w:sz w:val="30"/>
          <w:szCs w:val="30"/>
        </w:rPr>
        <w:t xml:space="preserve">潭乡人民政府是主管基层行政机关，主要职责是： </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w:t>
      </w:r>
      <w:proofErr w:type="gramStart"/>
      <w:r>
        <w:rPr>
          <w:rFonts w:ascii="仿宋" w:eastAsia="仿宋" w:hAnsi="仿宋" w:hint="eastAsia"/>
          <w:sz w:val="30"/>
          <w:szCs w:val="30"/>
        </w:rPr>
        <w:t>一</w:t>
      </w:r>
      <w:proofErr w:type="gramEnd"/>
      <w:r>
        <w:rPr>
          <w:rFonts w:ascii="仿宋" w:eastAsia="仿宋" w:hAnsi="仿宋" w:hint="eastAsia"/>
          <w:sz w:val="30"/>
          <w:szCs w:val="30"/>
        </w:rPr>
        <w:t>)加强党的建设。落实基层党建工作责任制，严格抓好基层党组织建设各项制度，</w:t>
      </w:r>
      <w:proofErr w:type="gramStart"/>
      <w:r>
        <w:rPr>
          <w:rFonts w:ascii="仿宋" w:eastAsia="仿宋" w:hAnsi="仿宋" w:hint="eastAsia"/>
          <w:sz w:val="30"/>
          <w:szCs w:val="30"/>
        </w:rPr>
        <w:t>统抓好</w:t>
      </w:r>
      <w:proofErr w:type="gramEnd"/>
      <w:r>
        <w:rPr>
          <w:rFonts w:ascii="仿宋" w:eastAsia="仿宋" w:hAnsi="仿宋" w:hint="eastAsia"/>
          <w:sz w:val="30"/>
          <w:szCs w:val="30"/>
        </w:rPr>
        <w:t>基层党建工作;推进全面从严治党强化“两个责任”，落实村基层党建工作要求，全面加强农村基层宣传思想文化工作，健全完善党建引领基层体系，强化基层治理平建设，进一步增强党在农村的政治领导力、思想引领力、群众组织力、社会号召力。</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(二)实施乡村振兴战略。贯彻落实中央、省、市、</w:t>
      </w:r>
      <w:proofErr w:type="gramStart"/>
      <w:r>
        <w:rPr>
          <w:rFonts w:ascii="仿宋" w:eastAsia="仿宋" w:hAnsi="仿宋" w:hint="eastAsia"/>
          <w:sz w:val="30"/>
          <w:szCs w:val="30"/>
        </w:rPr>
        <w:t>县关于</w:t>
      </w:r>
      <w:proofErr w:type="gramEnd"/>
      <w:r>
        <w:rPr>
          <w:rFonts w:ascii="仿宋" w:eastAsia="仿宋" w:hAnsi="仿宋" w:hint="eastAsia"/>
          <w:sz w:val="30"/>
          <w:szCs w:val="30"/>
        </w:rPr>
        <w:t>实施乡村振兴战略的决策部署，提升农业发展质量，加快现代农业</w:t>
      </w:r>
      <w:proofErr w:type="gramStart"/>
      <w:r>
        <w:rPr>
          <w:rFonts w:ascii="仿宋" w:eastAsia="仿宋" w:hAnsi="仿宋" w:hint="eastAsia"/>
          <w:sz w:val="30"/>
          <w:szCs w:val="30"/>
        </w:rPr>
        <w:t>强步伐</w:t>
      </w:r>
      <w:proofErr w:type="gramEnd"/>
      <w:r>
        <w:rPr>
          <w:rFonts w:ascii="仿宋" w:eastAsia="仿宋" w:hAnsi="仿宋" w:hint="eastAsia"/>
          <w:sz w:val="30"/>
          <w:szCs w:val="30"/>
        </w:rPr>
        <w:t>;推进乡村绿色发展，打造生态宜</w:t>
      </w:r>
      <w:proofErr w:type="gramStart"/>
      <w:r>
        <w:rPr>
          <w:rFonts w:ascii="仿宋" w:eastAsia="仿宋" w:hAnsi="仿宋" w:hint="eastAsia"/>
          <w:sz w:val="30"/>
          <w:szCs w:val="30"/>
        </w:rPr>
        <w:t>居美丽</w:t>
      </w:r>
      <w:proofErr w:type="gramEnd"/>
      <w:r>
        <w:rPr>
          <w:rFonts w:ascii="仿宋" w:eastAsia="仿宋" w:hAnsi="仿宋" w:hint="eastAsia"/>
          <w:sz w:val="30"/>
          <w:szCs w:val="30"/>
        </w:rPr>
        <w:t>乡村；加强农村基础设施建设，改善农村居住环境;深化农村精神文明建设，树立健康文明新风尚;构建乡村治理体系，提升农村社会治理水平;坚决打赢脱贫攻坚战，增强贫困群众获得感;深入推进农业农村改革，增强乡村振兴内生动力。</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(三)加强公共管理。实施综合管理，落实辖区内集镇管理、人口管理、社会管理、经济发展、综合执法、公共服务生态环境保护等工作，承担组织领导、推进实施、综合协调等职责。</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（四)加公共安全。负责辖区公共安全及安全生产监管，构建公共安全防控体系，建立应对突发紧急事件的处理预案，做好安全生产、防汛、防火、减灾救灾、防疫、气象灾害防御、食品</w:t>
      </w:r>
      <w:r>
        <w:rPr>
          <w:rFonts w:ascii="仿宋" w:eastAsia="仿宋" w:hAnsi="仿宋" w:hint="eastAsia"/>
          <w:sz w:val="30"/>
          <w:szCs w:val="30"/>
        </w:rPr>
        <w:lastRenderedPageBreak/>
        <w:t>药品安全等应急管理工作。承担辖区平安建设和社会治安综合治理工作，全面加强“全要素网格”建设，落实社会矛盾纠纷排查调处机制，综合发挥人民调解、行政调解和司法调解的作用，及时化解辖区社会矛盾，确保社会稳定。</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五)加强政务服务。组织实施与群众生活密切相关的各项行政审批和公共服务，落实人力资源、社会保障、医疗保障、移民、扶贫、民政、教育、体育、文化、旅游、卫生健康、自然资源、统计、水利等方面相关政策。加强乡综合便民服务平台标准化建设，推进集中审批服务，提升群众获得感和幸福感。</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(六)领导基层自治。领导村民委员会建设，推进村民委员会自治;组织村民和单位参与村建设和管理，健全完善自治、法治、德治相结合的基层治理体系;推进村务公开、财务公开。</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(七)动员社会参与。动员辖区内各类单位、社会组织和村民等社会力量参与村治理，引导辖区内单位履行社会责任，整合区域内各种社会力量为辖区发展服务。</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(八)加强财税管理。负责乡本级财务以及集体资产管理工作，协助做好税收征管工作，指导监督村级财务和资产管理工作</w:t>
      </w:r>
    </w:p>
    <w:p w:rsidR="001F6413" w:rsidRDefault="009D26DE">
      <w:pPr>
        <w:adjustRightInd w:val="0"/>
        <w:snapToGrid w:val="0"/>
        <w:spacing w:line="600" w:lineRule="exact"/>
        <w:ind w:firstLine="630"/>
        <w:jc w:val="left"/>
        <w:rPr>
          <w:rFonts w:ascii="仿宋" w:eastAsia="仿宋" w:hAnsi="仿宋"/>
          <w:sz w:val="30"/>
          <w:szCs w:val="30"/>
        </w:rPr>
      </w:pPr>
      <w:r>
        <w:rPr>
          <w:rFonts w:ascii="仿宋" w:eastAsia="仿宋" w:hAnsi="仿宋" w:hint="eastAsia"/>
          <w:sz w:val="30"/>
          <w:szCs w:val="30"/>
        </w:rPr>
        <w:t>(九)做好国防教育和兵役、退役军人事务等工作</w:t>
      </w:r>
    </w:p>
    <w:p w:rsidR="001F6413" w:rsidRDefault="009D26DE">
      <w:pPr>
        <w:adjustRightInd w:val="0"/>
        <w:snapToGrid w:val="0"/>
        <w:spacing w:line="600" w:lineRule="exact"/>
        <w:ind w:firstLineChars="200" w:firstLine="600"/>
        <w:jc w:val="left"/>
        <w:rPr>
          <w:rFonts w:ascii="仿宋" w:eastAsia="仿宋" w:hAnsi="仿宋"/>
          <w:sz w:val="30"/>
          <w:szCs w:val="30"/>
        </w:rPr>
      </w:pPr>
      <w:r>
        <w:rPr>
          <w:rFonts w:ascii="仿宋" w:eastAsia="仿宋" w:hAnsi="仿宋" w:hint="eastAsia"/>
          <w:sz w:val="30"/>
          <w:szCs w:val="30"/>
        </w:rPr>
        <w:t>(十)承担县委，县政府交办的其他事项。</w:t>
      </w:r>
    </w:p>
    <w:p w:rsidR="001F6413" w:rsidRDefault="009D26DE">
      <w:pPr>
        <w:rPr>
          <w:rFonts w:ascii="仿宋_GB2312" w:eastAsia="仿宋_GB2312"/>
          <w:sz w:val="32"/>
          <w:szCs w:val="32"/>
        </w:rPr>
      </w:pPr>
      <w:r>
        <w:rPr>
          <w:rFonts w:ascii="仿宋_GB2312" w:eastAsia="仿宋_GB2312" w:hint="eastAsia"/>
          <w:sz w:val="32"/>
          <w:szCs w:val="32"/>
        </w:rPr>
        <w:t>二、部门基本情况</w:t>
      </w:r>
    </w:p>
    <w:p w:rsidR="001F6413" w:rsidRDefault="009D26DE">
      <w:pPr>
        <w:ind w:firstLineChars="200" w:firstLine="600"/>
        <w:rPr>
          <w:rFonts w:ascii="仿宋_GB2312" w:eastAsia="仿宋_GB2312"/>
          <w:sz w:val="32"/>
          <w:szCs w:val="32"/>
        </w:rPr>
      </w:pPr>
      <w:r>
        <w:rPr>
          <w:rFonts w:ascii="仿宋" w:eastAsia="仿宋" w:hAnsi="仿宋" w:hint="eastAsia"/>
          <w:sz w:val="30"/>
          <w:szCs w:val="30"/>
        </w:rPr>
        <w:t>崇义县</w:t>
      </w:r>
      <w:proofErr w:type="gramStart"/>
      <w:r>
        <w:rPr>
          <w:rFonts w:ascii="仿宋" w:eastAsia="仿宋" w:hAnsi="仿宋" w:hint="eastAsia"/>
          <w:sz w:val="30"/>
          <w:szCs w:val="30"/>
        </w:rPr>
        <w:t>麟</w:t>
      </w:r>
      <w:proofErr w:type="gramEnd"/>
      <w:r>
        <w:rPr>
          <w:rFonts w:ascii="仿宋" w:eastAsia="仿宋" w:hAnsi="仿宋" w:hint="eastAsia"/>
          <w:sz w:val="30"/>
          <w:szCs w:val="30"/>
        </w:rPr>
        <w:t>潭乡人民政府</w:t>
      </w:r>
      <w:r>
        <w:rPr>
          <w:rFonts w:ascii="仿宋_GB2312" w:eastAsia="仿宋_GB2312" w:hint="eastAsia"/>
          <w:sz w:val="32"/>
          <w:szCs w:val="32"/>
        </w:rPr>
        <w:t>共有预算单位1个，包括机关本级。编制人数39人，其中：行政编制17人、全额拨款事业编制22人；实有人数39人，其中：在职人数39人，包括行政人</w:t>
      </w:r>
      <w:r>
        <w:rPr>
          <w:rFonts w:ascii="仿宋_GB2312" w:eastAsia="仿宋_GB2312" w:hint="eastAsia"/>
          <w:sz w:val="32"/>
          <w:szCs w:val="32"/>
        </w:rPr>
        <w:lastRenderedPageBreak/>
        <w:t>员17人，全额拨款事业人员22人。</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jc w:val="center"/>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潭乡人民政府2020年部门预算情况说明</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rPr>
          <w:rFonts w:ascii="仿宋_GB2312" w:eastAsia="仿宋_GB2312"/>
          <w:sz w:val="32"/>
          <w:szCs w:val="32"/>
        </w:rPr>
      </w:pPr>
      <w:r>
        <w:rPr>
          <w:rFonts w:ascii="仿宋_GB2312" w:eastAsia="仿宋_GB2312" w:hint="eastAsia"/>
          <w:sz w:val="32"/>
          <w:szCs w:val="32"/>
        </w:rPr>
        <w:t>一、2020年部门预算收支情况说明</w:t>
      </w:r>
    </w:p>
    <w:p w:rsidR="001F6413" w:rsidRDefault="009D26DE">
      <w:pPr>
        <w:rPr>
          <w:rFonts w:ascii="仿宋_GB2312" w:eastAsia="仿宋_GB2312"/>
          <w:sz w:val="32"/>
          <w:szCs w:val="32"/>
        </w:rPr>
      </w:pPr>
      <w:r>
        <w:rPr>
          <w:rFonts w:ascii="仿宋_GB2312" w:eastAsia="仿宋_GB2312" w:hint="eastAsia"/>
          <w:sz w:val="32"/>
          <w:szCs w:val="32"/>
        </w:rPr>
        <w:t>（一）收入预算情况</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2020年</w:t>
      </w:r>
      <w:r>
        <w:rPr>
          <w:rFonts w:ascii="仿宋" w:eastAsia="仿宋" w:hAnsi="仿宋" w:hint="eastAsia"/>
          <w:sz w:val="30"/>
          <w:szCs w:val="30"/>
        </w:rPr>
        <w:t>崇义县</w:t>
      </w:r>
      <w:proofErr w:type="gramStart"/>
      <w:r>
        <w:rPr>
          <w:rFonts w:ascii="仿宋" w:eastAsia="仿宋" w:hAnsi="仿宋" w:hint="eastAsia"/>
          <w:sz w:val="30"/>
          <w:szCs w:val="30"/>
        </w:rPr>
        <w:t>麟</w:t>
      </w:r>
      <w:proofErr w:type="gramEnd"/>
      <w:r>
        <w:rPr>
          <w:rFonts w:ascii="仿宋" w:eastAsia="仿宋" w:hAnsi="仿宋" w:hint="eastAsia"/>
          <w:sz w:val="30"/>
          <w:szCs w:val="30"/>
        </w:rPr>
        <w:t>潭乡人民政府</w:t>
      </w:r>
      <w:r>
        <w:rPr>
          <w:rFonts w:ascii="仿宋_GB2312" w:eastAsia="仿宋_GB2312" w:hint="eastAsia"/>
          <w:sz w:val="32"/>
          <w:szCs w:val="32"/>
        </w:rPr>
        <w:t>收入预算总额591.38万元，较上年预算安排增长29.42%。其中：财政拨款收入591.38万元，较上年增长29.42%。</w:t>
      </w:r>
    </w:p>
    <w:p w:rsidR="001F6413" w:rsidRDefault="009D26DE">
      <w:pPr>
        <w:rPr>
          <w:rFonts w:ascii="仿宋_GB2312" w:eastAsia="仿宋_GB2312"/>
          <w:sz w:val="32"/>
          <w:szCs w:val="32"/>
        </w:rPr>
      </w:pPr>
      <w:r>
        <w:rPr>
          <w:rFonts w:ascii="仿宋_GB2312" w:eastAsia="仿宋_GB2312" w:hint="eastAsia"/>
          <w:sz w:val="32"/>
          <w:szCs w:val="32"/>
        </w:rPr>
        <w:t>（二）支出预算情况</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2020年崇义县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潭乡人民政府支出预算总额591.38万元，较上年预算安排增长29.42%。其中：部门支出591.38万元。</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按支出项目类别划分：基本支出591.38万元，较上年增长28.31%，包括工资福利支出215.34万元，商品和服务支出372.66万元，对个人和家庭补助3.38万元。</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按支出功能科目划分：一般公共服务支出375.79万元，文化旅游体育与传媒支出4.73万元，社会保障和就业支出39.54万元，卫生健康支出36.94万元，农林水支出116.74万元，住房保障支出17.64万元</w:t>
      </w:r>
      <w:r>
        <w:rPr>
          <w:rFonts w:ascii="仿宋_GB2312" w:eastAsia="仿宋_GB2312" w:hAnsi="仿宋" w:cs="宋体" w:hint="eastAsia"/>
          <w:color w:val="333333"/>
          <w:sz w:val="32"/>
          <w:szCs w:val="32"/>
        </w:rPr>
        <w:t>。</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按支出经济分类划分：工资福利支出215.34万元，较上年增长3.2%；商品和服务支出372.66万元，较上年增加</w:t>
      </w:r>
      <w:r>
        <w:rPr>
          <w:rFonts w:ascii="仿宋_GB2312" w:eastAsia="仿宋_GB2312" w:hint="eastAsia"/>
          <w:sz w:val="32"/>
          <w:szCs w:val="32"/>
        </w:rPr>
        <w:lastRenderedPageBreak/>
        <w:t>51.97%；对个人和家庭补助3.38万元，较上年增长10.45%。</w:t>
      </w:r>
    </w:p>
    <w:p w:rsidR="001F6413" w:rsidRDefault="001F6413">
      <w:pPr>
        <w:ind w:firstLineChars="200" w:firstLine="640"/>
        <w:rPr>
          <w:rFonts w:ascii="仿宋_GB2312" w:eastAsia="仿宋_GB2312"/>
          <w:sz w:val="32"/>
          <w:szCs w:val="32"/>
        </w:rPr>
      </w:pPr>
    </w:p>
    <w:p w:rsidR="001F6413" w:rsidRDefault="009D26DE">
      <w:pPr>
        <w:rPr>
          <w:rFonts w:ascii="仿宋_GB2312" w:eastAsia="仿宋_GB2312"/>
          <w:sz w:val="32"/>
          <w:szCs w:val="32"/>
        </w:rPr>
      </w:pPr>
      <w:r>
        <w:rPr>
          <w:rFonts w:ascii="仿宋_GB2312" w:eastAsia="仿宋_GB2312" w:hint="eastAsia"/>
          <w:sz w:val="32"/>
          <w:szCs w:val="32"/>
        </w:rPr>
        <w:t>（三）财政拨款支出情况</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2020年崇义县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潭乡人民政府财政拨款支出预算591.38万元，比上年增加28.31%。具体支出情况是：</w:t>
      </w:r>
    </w:p>
    <w:p w:rsidR="001F6413" w:rsidRDefault="009D26DE">
      <w:pPr>
        <w:ind w:firstLineChars="200" w:firstLine="640"/>
        <w:rPr>
          <w:rFonts w:ascii="仿宋_GB2312" w:eastAsia="仿宋_GB2312" w:hAnsi="仿宋" w:cs="宋体"/>
          <w:color w:val="333333"/>
          <w:sz w:val="32"/>
          <w:szCs w:val="32"/>
        </w:rPr>
      </w:pPr>
      <w:r>
        <w:rPr>
          <w:rFonts w:ascii="仿宋_GB2312" w:eastAsia="仿宋_GB2312" w:hint="eastAsia"/>
          <w:sz w:val="32"/>
          <w:szCs w:val="32"/>
        </w:rPr>
        <w:t>按支出功能科目划分：一般公共服务支出375.79万元，文化旅游体育与传媒支出4.73万元，社会保障和就业支出39.54万元，卫生健康支出36.94万元，农林水支出116.74万元，住房保障支出17.64万元</w:t>
      </w:r>
      <w:r>
        <w:rPr>
          <w:rFonts w:ascii="仿宋_GB2312" w:eastAsia="仿宋_GB2312" w:hAnsi="仿宋" w:cs="宋体" w:hint="eastAsia"/>
          <w:color w:val="333333"/>
          <w:sz w:val="32"/>
          <w:szCs w:val="32"/>
        </w:rPr>
        <w:t>。</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按支出经济分类划分：工资福利支出215.34万元，商品和服务支出372.66万元，对个人和家庭补助3.38万元。</w:t>
      </w:r>
    </w:p>
    <w:p w:rsidR="001F6413" w:rsidRDefault="009D26DE">
      <w:pPr>
        <w:rPr>
          <w:rFonts w:ascii="仿宋_GB2312" w:eastAsia="仿宋_GB2312"/>
          <w:sz w:val="32"/>
          <w:szCs w:val="32"/>
        </w:rPr>
      </w:pPr>
      <w:r>
        <w:rPr>
          <w:rFonts w:ascii="仿宋_GB2312" w:eastAsia="仿宋_GB2312" w:hint="eastAsia"/>
          <w:sz w:val="32"/>
          <w:szCs w:val="32"/>
        </w:rPr>
        <w:t>（四）政府性基金情况</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本部门2020年没有使用政府性基金预算拨款安排的支出。</w:t>
      </w:r>
    </w:p>
    <w:p w:rsidR="001F6413" w:rsidRDefault="009D26DE">
      <w:pPr>
        <w:rPr>
          <w:rFonts w:ascii="仿宋_GB2312" w:eastAsia="仿宋_GB2312"/>
          <w:sz w:val="32"/>
          <w:szCs w:val="32"/>
        </w:rPr>
      </w:pPr>
      <w:r>
        <w:rPr>
          <w:rFonts w:ascii="仿宋_GB2312" w:eastAsia="仿宋_GB2312" w:hint="eastAsia"/>
          <w:sz w:val="32"/>
          <w:szCs w:val="32"/>
        </w:rPr>
        <w:t>（五）机关运行经费等重要事项的说明</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2020年部门机关运行经费预算商品和服务支出372.66万元，较上年增加51.97%，主要原因是：机构改革、乡村振兴等工作需要。</w:t>
      </w:r>
    </w:p>
    <w:p w:rsidR="001F6413" w:rsidRDefault="009D26DE">
      <w:pPr>
        <w:rPr>
          <w:rFonts w:ascii="仿宋_GB2312" w:eastAsia="仿宋_GB2312"/>
          <w:sz w:val="32"/>
          <w:szCs w:val="32"/>
        </w:rPr>
      </w:pPr>
      <w:r>
        <w:rPr>
          <w:rFonts w:ascii="仿宋_GB2312" w:eastAsia="仿宋_GB2312" w:hint="eastAsia"/>
          <w:sz w:val="32"/>
          <w:szCs w:val="32"/>
        </w:rPr>
        <w:t>（六）政府采购情况</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2019年部门所属各单位政府采购总额43万元，其中：政府采购货物预算26万元、政府采购服务预算17万元。</w:t>
      </w:r>
    </w:p>
    <w:p w:rsidR="001F6413" w:rsidRDefault="009D26DE">
      <w:pPr>
        <w:numPr>
          <w:ilvl w:val="0"/>
          <w:numId w:val="2"/>
        </w:numPr>
        <w:rPr>
          <w:rFonts w:ascii="仿宋_GB2312" w:eastAsia="仿宋_GB2312"/>
          <w:sz w:val="32"/>
          <w:szCs w:val="32"/>
        </w:rPr>
      </w:pPr>
      <w:r>
        <w:rPr>
          <w:rFonts w:ascii="仿宋_GB2312" w:eastAsia="仿宋_GB2312" w:hint="eastAsia"/>
          <w:sz w:val="32"/>
          <w:szCs w:val="32"/>
        </w:rPr>
        <w:t>国有资产占有使用情况</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lastRenderedPageBreak/>
        <w:t>部门共有车辆2辆，其中，一般公务用车2辆。</w:t>
      </w:r>
    </w:p>
    <w:p w:rsidR="001F6413" w:rsidRDefault="009D26DE">
      <w:pPr>
        <w:ind w:firstLineChars="50" w:firstLine="160"/>
        <w:rPr>
          <w:rFonts w:ascii="仿宋_GB2312" w:eastAsia="仿宋_GB2312"/>
          <w:color w:val="FF0000"/>
          <w:sz w:val="32"/>
          <w:szCs w:val="32"/>
        </w:rPr>
      </w:pPr>
      <w:r>
        <w:rPr>
          <w:rFonts w:ascii="仿宋_GB2312" w:eastAsia="仿宋_GB2312" w:hint="eastAsia"/>
          <w:sz w:val="32"/>
          <w:szCs w:val="32"/>
        </w:rPr>
        <w:t>（八）绩效目标设置情况</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2020年实行绩效目标管理的项目</w:t>
      </w:r>
      <w:r w:rsidR="004338C7">
        <w:rPr>
          <w:rFonts w:ascii="仿宋_GB2312" w:eastAsia="仿宋_GB2312" w:hint="eastAsia"/>
          <w:sz w:val="32"/>
          <w:szCs w:val="32"/>
        </w:rPr>
        <w:t>0</w:t>
      </w:r>
      <w:r>
        <w:rPr>
          <w:rFonts w:ascii="仿宋_GB2312" w:eastAsia="仿宋_GB2312" w:hint="eastAsia"/>
          <w:sz w:val="32"/>
          <w:szCs w:val="32"/>
        </w:rPr>
        <w:t>个，涉及资金0万元；纳入绩效目标批复试点的项目0个，涉及资金0万元。</w:t>
      </w:r>
    </w:p>
    <w:p w:rsidR="001F6413" w:rsidRDefault="009D26DE">
      <w:pPr>
        <w:rPr>
          <w:rFonts w:ascii="仿宋_GB2312" w:eastAsia="仿宋_GB2312"/>
          <w:sz w:val="32"/>
          <w:szCs w:val="32"/>
        </w:rPr>
      </w:pPr>
      <w:r>
        <w:rPr>
          <w:rFonts w:ascii="仿宋_GB2312" w:eastAsia="仿宋_GB2312" w:hint="eastAsia"/>
          <w:sz w:val="32"/>
          <w:szCs w:val="32"/>
        </w:rPr>
        <w:t>二、2020年“三公”经费预算情况说明</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2020年崇义县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潭乡人民政府“三公”经费预算安排</w:t>
      </w:r>
      <w:r>
        <w:rPr>
          <w:rFonts w:eastAsia="仿宋_GB2312" w:hint="eastAsia"/>
          <w:sz w:val="32"/>
          <w:szCs w:val="32"/>
        </w:rPr>
        <w:t> </w:t>
      </w:r>
      <w:r>
        <w:rPr>
          <w:rFonts w:ascii="仿宋_GB2312" w:eastAsia="仿宋_GB2312" w:hint="eastAsia"/>
          <w:sz w:val="32"/>
          <w:szCs w:val="32"/>
        </w:rPr>
        <w:t>53.58万元，比上年增加0.58万元，增加1.09%。其中:</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公务接待费34.8万元，与上年预算数持平。</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公务用车运行维护费18.78万元，与上年预算数基本持平。</w:t>
      </w:r>
    </w:p>
    <w:p w:rsidR="001F6413" w:rsidRDefault="009D26DE">
      <w:pPr>
        <w:ind w:firstLineChars="200" w:firstLine="640"/>
        <w:rPr>
          <w:rFonts w:ascii="仿宋_GB2312" w:eastAsia="仿宋_GB2312"/>
          <w:sz w:val="32"/>
          <w:szCs w:val="32"/>
        </w:rPr>
      </w:pPr>
      <w:r>
        <w:rPr>
          <w:rFonts w:ascii="仿宋_GB2312" w:eastAsia="仿宋_GB2312" w:hint="eastAsia"/>
          <w:sz w:val="32"/>
          <w:szCs w:val="32"/>
        </w:rPr>
        <w:t>公务用车购置费0万元，与上年预算数持平。</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jc w:val="center"/>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w:t>
      </w:r>
      <w:proofErr w:type="gramStart"/>
      <w:r>
        <w:rPr>
          <w:rFonts w:ascii="仿宋_GB2312" w:eastAsia="仿宋_GB2312" w:hint="eastAsia"/>
          <w:sz w:val="32"/>
          <w:szCs w:val="32"/>
        </w:rPr>
        <w:t>麟</w:t>
      </w:r>
      <w:proofErr w:type="gramEnd"/>
      <w:r>
        <w:rPr>
          <w:rFonts w:ascii="仿宋_GB2312" w:eastAsia="仿宋_GB2312" w:hint="eastAsia"/>
          <w:sz w:val="32"/>
          <w:szCs w:val="32"/>
        </w:rPr>
        <w:t>潭乡人民政府2020年部门预算表</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rPr>
          <w:rFonts w:ascii="仿宋_GB2312" w:eastAsia="仿宋_GB2312"/>
          <w:sz w:val="32"/>
          <w:szCs w:val="32"/>
        </w:rPr>
      </w:pPr>
      <w:r>
        <w:rPr>
          <w:rFonts w:ascii="仿宋_GB2312" w:eastAsia="仿宋_GB2312" w:hint="eastAsia"/>
          <w:sz w:val="32"/>
          <w:szCs w:val="32"/>
        </w:rPr>
        <w:t>八张表（详见附表）</w:t>
      </w:r>
    </w:p>
    <w:p w:rsidR="001F6413" w:rsidRDefault="00F37E62">
      <w:pPr>
        <w:rPr>
          <w:rFonts w:ascii="仿宋_GB2312" w:eastAsia="仿宋_GB2312"/>
          <w:sz w:val="32"/>
          <w:szCs w:val="32"/>
        </w:rPr>
      </w:pPr>
      <w:hyperlink r:id="rId8" w:tooltip="赣州市财政局2019年部门预算公开表.xls" w:history="1">
        <w:r w:rsidR="009D26DE">
          <w:rPr>
            <w:rStyle w:val="a7"/>
            <w:rFonts w:ascii="仿宋_GB2312" w:eastAsia="仿宋_GB2312" w:hint="eastAsia"/>
            <w:sz w:val="32"/>
            <w:szCs w:val="32"/>
          </w:rPr>
          <w:t>崇义县</w:t>
        </w:r>
        <w:proofErr w:type="gramStart"/>
        <w:r w:rsidR="009D26DE">
          <w:rPr>
            <w:rStyle w:val="a7"/>
            <w:rFonts w:ascii="仿宋_GB2312" w:eastAsia="仿宋_GB2312" w:hint="eastAsia"/>
            <w:sz w:val="32"/>
            <w:szCs w:val="32"/>
          </w:rPr>
          <w:t>麟</w:t>
        </w:r>
        <w:proofErr w:type="gramEnd"/>
        <w:r w:rsidR="009D26DE">
          <w:rPr>
            <w:rStyle w:val="a7"/>
            <w:rFonts w:ascii="仿宋_GB2312" w:eastAsia="仿宋_GB2312" w:hint="eastAsia"/>
            <w:sz w:val="32"/>
            <w:szCs w:val="32"/>
          </w:rPr>
          <w:t>潭乡人民政府2020年部门预算公开表.</w:t>
        </w:r>
        <w:proofErr w:type="gramStart"/>
        <w:r w:rsidR="009D26DE">
          <w:rPr>
            <w:rStyle w:val="a7"/>
            <w:rFonts w:ascii="仿宋_GB2312" w:eastAsia="仿宋_GB2312" w:hint="eastAsia"/>
            <w:sz w:val="32"/>
            <w:szCs w:val="32"/>
          </w:rPr>
          <w:t>xls</w:t>
        </w:r>
        <w:proofErr w:type="gramEnd"/>
      </w:hyperlink>
    </w:p>
    <w:p w:rsidR="001F6413" w:rsidRDefault="009D26DE">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1F6413" w:rsidRDefault="009D26DE">
      <w:pPr>
        <w:rPr>
          <w:rFonts w:ascii="仿宋_GB2312" w:eastAsia="仿宋_GB2312"/>
          <w:sz w:val="32"/>
          <w:szCs w:val="32"/>
        </w:rPr>
      </w:pPr>
      <w:r>
        <w:rPr>
          <w:rFonts w:eastAsia="仿宋_GB2312" w:hint="eastAsia"/>
          <w:sz w:val="32"/>
          <w:szCs w:val="32"/>
        </w:rPr>
        <w:t> </w:t>
      </w:r>
    </w:p>
    <w:p w:rsidR="001F6413" w:rsidRDefault="009D26DE">
      <w:pPr>
        <w:rPr>
          <w:rFonts w:ascii="仿宋_GB2312" w:eastAsia="仿宋_GB2312"/>
          <w:sz w:val="32"/>
          <w:szCs w:val="32"/>
        </w:rPr>
      </w:pPr>
      <w:r>
        <w:rPr>
          <w:rFonts w:ascii="仿宋_GB2312" w:eastAsia="仿宋_GB2312" w:hint="eastAsia"/>
          <w:sz w:val="32"/>
          <w:szCs w:val="32"/>
        </w:rPr>
        <w:t>一、收入科目</w:t>
      </w:r>
    </w:p>
    <w:p w:rsidR="001F6413" w:rsidRDefault="009D26DE">
      <w:pPr>
        <w:rPr>
          <w:rFonts w:ascii="仿宋_GB2312" w:eastAsia="仿宋_GB2312"/>
          <w:sz w:val="32"/>
          <w:szCs w:val="32"/>
        </w:rPr>
      </w:pPr>
      <w:r>
        <w:rPr>
          <w:rFonts w:ascii="仿宋_GB2312" w:eastAsia="仿宋_GB2312" w:hint="eastAsia"/>
          <w:sz w:val="32"/>
          <w:szCs w:val="32"/>
        </w:rPr>
        <w:t>（一）财政拨款：指市级财政当年拨付的资金。</w:t>
      </w:r>
    </w:p>
    <w:p w:rsidR="001F6413" w:rsidRDefault="009D26DE">
      <w:pPr>
        <w:rPr>
          <w:rFonts w:ascii="仿宋_GB2312" w:eastAsia="仿宋_GB2312"/>
          <w:sz w:val="32"/>
          <w:szCs w:val="32"/>
        </w:rPr>
      </w:pPr>
      <w:r>
        <w:rPr>
          <w:rFonts w:ascii="仿宋_GB2312" w:eastAsia="仿宋_GB2312" w:hint="eastAsia"/>
          <w:sz w:val="32"/>
          <w:szCs w:val="32"/>
        </w:rPr>
        <w:t>（二）上级补助收入：指单位从主管部门和上级单位取得的补助收入。</w:t>
      </w:r>
    </w:p>
    <w:p w:rsidR="001F6413" w:rsidRDefault="009D26DE">
      <w:pPr>
        <w:rPr>
          <w:rFonts w:ascii="仿宋_GB2312" w:eastAsia="仿宋_GB2312"/>
          <w:sz w:val="32"/>
          <w:szCs w:val="32"/>
        </w:rPr>
      </w:pPr>
      <w:r>
        <w:rPr>
          <w:rFonts w:ascii="仿宋_GB2312" w:eastAsia="仿宋_GB2312" w:hint="eastAsia"/>
          <w:sz w:val="32"/>
          <w:szCs w:val="32"/>
        </w:rPr>
        <w:lastRenderedPageBreak/>
        <w:t>（三）其他收入：指除财政拨款、上级补助收入、事业收入、事业单位经营收入等以外的各项收入。</w:t>
      </w:r>
    </w:p>
    <w:p w:rsidR="001F6413" w:rsidRDefault="009D26DE">
      <w:pPr>
        <w:rPr>
          <w:rFonts w:ascii="仿宋_GB2312" w:eastAsia="仿宋_GB2312"/>
          <w:sz w:val="32"/>
          <w:szCs w:val="32"/>
        </w:rPr>
      </w:pPr>
      <w:r>
        <w:rPr>
          <w:rFonts w:ascii="仿宋_GB2312" w:eastAsia="仿宋_GB2312" w:hint="eastAsia"/>
          <w:sz w:val="32"/>
          <w:szCs w:val="32"/>
        </w:rPr>
        <w:t>（四）上年结转和结余：填列2018年全部结转和结余的资金数，包括当年结转结余资金和历年滚存结转结余资金。</w:t>
      </w:r>
    </w:p>
    <w:p w:rsidR="001F6413" w:rsidRDefault="009D26DE">
      <w:pPr>
        <w:rPr>
          <w:rFonts w:ascii="仿宋_GB2312" w:eastAsia="仿宋_GB2312"/>
          <w:sz w:val="32"/>
          <w:szCs w:val="32"/>
        </w:rPr>
      </w:pPr>
      <w:r>
        <w:rPr>
          <w:rFonts w:ascii="仿宋_GB2312" w:eastAsia="仿宋_GB2312" w:hint="eastAsia"/>
          <w:sz w:val="32"/>
          <w:szCs w:val="32"/>
        </w:rPr>
        <w:t>二、支出科目</w:t>
      </w:r>
    </w:p>
    <w:p w:rsidR="001F6413" w:rsidRDefault="009D26DE">
      <w:pPr>
        <w:rPr>
          <w:rFonts w:ascii="仿宋_GB2312" w:eastAsia="仿宋_GB2312"/>
          <w:sz w:val="32"/>
          <w:szCs w:val="32"/>
        </w:rPr>
      </w:pPr>
      <w:r>
        <w:rPr>
          <w:rFonts w:ascii="仿宋_GB2312" w:eastAsia="仿宋_GB2312" w:hint="eastAsia"/>
          <w:sz w:val="32"/>
          <w:szCs w:val="32"/>
        </w:rPr>
        <w:t>（一）行政运行：反映行政单位（</w:t>
      </w:r>
      <w:proofErr w:type="gramStart"/>
      <w:r>
        <w:rPr>
          <w:rFonts w:ascii="仿宋_GB2312" w:eastAsia="仿宋_GB2312" w:hint="eastAsia"/>
          <w:sz w:val="32"/>
          <w:szCs w:val="32"/>
        </w:rPr>
        <w:t>包括参公单位</w:t>
      </w:r>
      <w:proofErr w:type="gramEnd"/>
      <w:r>
        <w:rPr>
          <w:rFonts w:ascii="仿宋_GB2312" w:eastAsia="仿宋_GB2312" w:hint="eastAsia"/>
          <w:sz w:val="32"/>
          <w:szCs w:val="32"/>
        </w:rPr>
        <w:t>）的基本支出。</w:t>
      </w:r>
    </w:p>
    <w:p w:rsidR="001F6413" w:rsidRDefault="009D26DE">
      <w:pPr>
        <w:rPr>
          <w:rFonts w:ascii="仿宋_GB2312" w:eastAsia="仿宋_GB2312"/>
          <w:sz w:val="32"/>
          <w:szCs w:val="32"/>
        </w:rPr>
      </w:pPr>
      <w:r>
        <w:rPr>
          <w:rFonts w:ascii="仿宋_GB2312" w:eastAsia="仿宋_GB2312" w:hint="eastAsia"/>
          <w:sz w:val="32"/>
          <w:szCs w:val="32"/>
        </w:rPr>
        <w:t>（二）一般行政管理事务：反映行政单位（</w:t>
      </w:r>
      <w:proofErr w:type="gramStart"/>
      <w:r>
        <w:rPr>
          <w:rFonts w:ascii="仿宋_GB2312" w:eastAsia="仿宋_GB2312" w:hint="eastAsia"/>
          <w:sz w:val="32"/>
          <w:szCs w:val="32"/>
        </w:rPr>
        <w:t>包括参公单位</w:t>
      </w:r>
      <w:proofErr w:type="gramEnd"/>
      <w:r>
        <w:rPr>
          <w:rFonts w:ascii="仿宋_GB2312" w:eastAsia="仿宋_GB2312" w:hint="eastAsia"/>
          <w:sz w:val="32"/>
          <w:szCs w:val="32"/>
        </w:rPr>
        <w:t>）未单独设置项级科目的其他项目支出。</w:t>
      </w:r>
    </w:p>
    <w:p w:rsidR="001F6413" w:rsidRDefault="009D26DE">
      <w:pPr>
        <w:rPr>
          <w:rFonts w:ascii="仿宋_GB2312" w:eastAsia="仿宋_GB2312"/>
          <w:sz w:val="32"/>
          <w:szCs w:val="32"/>
        </w:rPr>
      </w:pPr>
      <w:r>
        <w:rPr>
          <w:rFonts w:ascii="仿宋_GB2312" w:eastAsia="仿宋_GB2312" w:hint="eastAsia"/>
          <w:sz w:val="32"/>
          <w:szCs w:val="32"/>
        </w:rPr>
        <w:t>（三）预算改革业务：反映财政部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预算改革方面的支出。</w:t>
      </w:r>
    </w:p>
    <w:p w:rsidR="001F6413" w:rsidRDefault="009D26DE">
      <w:pPr>
        <w:rPr>
          <w:rFonts w:ascii="仿宋_GB2312" w:eastAsia="仿宋_GB2312"/>
          <w:sz w:val="32"/>
          <w:szCs w:val="32"/>
        </w:rPr>
      </w:pPr>
      <w:r>
        <w:rPr>
          <w:rFonts w:ascii="仿宋_GB2312" w:eastAsia="仿宋_GB2312" w:hint="eastAsia"/>
          <w:sz w:val="32"/>
          <w:szCs w:val="32"/>
        </w:rPr>
        <w:t>（四）财政国库业务：反映财政部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财政国库集中支出收</w:t>
      </w:r>
      <w:proofErr w:type="gramStart"/>
      <w:r>
        <w:rPr>
          <w:rFonts w:ascii="仿宋_GB2312" w:eastAsia="仿宋_GB2312" w:hint="eastAsia"/>
          <w:sz w:val="32"/>
          <w:szCs w:val="32"/>
        </w:rPr>
        <w:t>付业务</w:t>
      </w:r>
      <w:proofErr w:type="gramEnd"/>
      <w:r>
        <w:rPr>
          <w:rFonts w:ascii="仿宋_GB2312" w:eastAsia="仿宋_GB2312" w:hint="eastAsia"/>
          <w:sz w:val="32"/>
          <w:szCs w:val="32"/>
        </w:rPr>
        <w:t>方面的支出。</w:t>
      </w:r>
    </w:p>
    <w:p w:rsidR="001F6413" w:rsidRDefault="009D26DE">
      <w:pPr>
        <w:rPr>
          <w:rFonts w:ascii="仿宋_GB2312" w:eastAsia="仿宋_GB2312"/>
          <w:sz w:val="32"/>
          <w:szCs w:val="32"/>
        </w:rPr>
      </w:pPr>
      <w:r>
        <w:rPr>
          <w:rFonts w:ascii="仿宋_GB2312" w:eastAsia="仿宋_GB2312" w:hint="eastAsia"/>
          <w:sz w:val="32"/>
          <w:szCs w:val="32"/>
        </w:rPr>
        <w:t>（五）财政监察：反映财政监察派出机构的专项业务支出。</w:t>
      </w:r>
    </w:p>
    <w:p w:rsidR="001F6413" w:rsidRDefault="009D26DE">
      <w:pPr>
        <w:rPr>
          <w:rFonts w:ascii="仿宋_GB2312" w:eastAsia="仿宋_GB2312"/>
          <w:sz w:val="32"/>
          <w:szCs w:val="32"/>
        </w:rPr>
      </w:pPr>
      <w:r>
        <w:rPr>
          <w:rFonts w:ascii="仿宋_GB2312" w:eastAsia="仿宋_GB2312" w:hint="eastAsia"/>
          <w:sz w:val="32"/>
          <w:szCs w:val="32"/>
        </w:rPr>
        <w:t>（六）事业运行：反映事业单位的基本支出。</w:t>
      </w:r>
    </w:p>
    <w:p w:rsidR="001F6413" w:rsidRDefault="009D26DE">
      <w:pPr>
        <w:rPr>
          <w:rFonts w:ascii="仿宋_GB2312" w:eastAsia="仿宋_GB2312"/>
          <w:sz w:val="32"/>
          <w:szCs w:val="32"/>
        </w:rPr>
      </w:pPr>
      <w:r>
        <w:rPr>
          <w:rFonts w:ascii="仿宋_GB2312" w:eastAsia="仿宋_GB2312" w:hint="eastAsia"/>
          <w:sz w:val="32"/>
          <w:szCs w:val="32"/>
        </w:rPr>
        <w:t>（七）其他财政事务支出：反映除上述项目以外的其他财政事务方面的支出。</w:t>
      </w:r>
    </w:p>
    <w:p w:rsidR="001F6413" w:rsidRDefault="009D26DE">
      <w:pPr>
        <w:rPr>
          <w:rFonts w:ascii="仿宋_GB2312" w:eastAsia="仿宋_GB2312"/>
          <w:sz w:val="32"/>
          <w:szCs w:val="32"/>
        </w:rPr>
      </w:pPr>
      <w:r>
        <w:rPr>
          <w:rFonts w:ascii="仿宋_GB2312" w:eastAsia="仿宋_GB2312" w:hint="eastAsia"/>
          <w:sz w:val="32"/>
          <w:szCs w:val="32"/>
        </w:rPr>
        <w:t>（八）机关事业单位基本养老保险缴费支出：反映机关事业单位实施养老保险制度由单位缴纳的基本养老保险费的支出。</w:t>
      </w:r>
    </w:p>
    <w:p w:rsidR="001F6413" w:rsidRDefault="009D26DE">
      <w:pPr>
        <w:rPr>
          <w:rFonts w:ascii="仿宋_GB2312" w:eastAsia="仿宋_GB2312"/>
          <w:sz w:val="32"/>
          <w:szCs w:val="32"/>
        </w:rPr>
      </w:pPr>
      <w:r>
        <w:rPr>
          <w:rFonts w:ascii="仿宋_GB2312" w:eastAsia="仿宋_GB2312" w:hint="eastAsia"/>
          <w:sz w:val="32"/>
          <w:szCs w:val="32"/>
        </w:rPr>
        <w:t>（九）行政单位医疗：反映财政部门集中安排的行政事业单位基本医疗保险缴费经费。</w:t>
      </w:r>
    </w:p>
    <w:p w:rsidR="001F6413" w:rsidRDefault="009D26DE">
      <w:pPr>
        <w:rPr>
          <w:rFonts w:ascii="仿宋_GB2312" w:eastAsia="仿宋_GB2312"/>
          <w:sz w:val="32"/>
          <w:szCs w:val="32"/>
        </w:rPr>
      </w:pPr>
      <w:r>
        <w:rPr>
          <w:rFonts w:ascii="仿宋_GB2312" w:eastAsia="仿宋_GB2312" w:hint="eastAsia"/>
          <w:sz w:val="32"/>
          <w:szCs w:val="32"/>
        </w:rPr>
        <w:lastRenderedPageBreak/>
        <w:t>（十）事业单位医疗：反映财政部门集中安排的事业单位基本医疗保险缴费经费。</w:t>
      </w:r>
    </w:p>
    <w:p w:rsidR="001F6413" w:rsidRDefault="009D26DE">
      <w:pPr>
        <w:rPr>
          <w:rFonts w:ascii="仿宋_GB2312" w:eastAsia="仿宋_GB2312"/>
          <w:sz w:val="32"/>
          <w:szCs w:val="32"/>
        </w:rPr>
      </w:pPr>
      <w:r>
        <w:rPr>
          <w:rFonts w:ascii="仿宋_GB2312" w:eastAsia="仿宋_GB2312" w:hint="eastAsia"/>
          <w:sz w:val="32"/>
          <w:szCs w:val="32"/>
        </w:rPr>
        <w:t>（十一）公务员医疗补助：反映财政部门集中安排的公务员医疗补助经费。</w:t>
      </w:r>
    </w:p>
    <w:p w:rsidR="001F6413" w:rsidRDefault="009D26DE">
      <w:pPr>
        <w:rPr>
          <w:rFonts w:ascii="仿宋_GB2312" w:eastAsia="仿宋_GB2312"/>
          <w:sz w:val="32"/>
          <w:szCs w:val="32"/>
        </w:rPr>
      </w:pPr>
      <w:r>
        <w:rPr>
          <w:rFonts w:ascii="仿宋_GB2312" w:eastAsia="仿宋_GB2312" w:hint="eastAsia"/>
          <w:sz w:val="32"/>
          <w:szCs w:val="32"/>
        </w:rPr>
        <w:t>（十二）住房公积金：反映行政事业单位按人力资源和社会保障部、财政部规定的基本工资和津补贴以及规定比例为职工缴纳的住房公积金。</w:t>
      </w:r>
    </w:p>
    <w:p w:rsidR="001F6413" w:rsidRDefault="001F6413">
      <w:pPr>
        <w:rPr>
          <w:rFonts w:ascii="仿宋_GB2312" w:eastAsia="仿宋_GB2312"/>
          <w:sz w:val="32"/>
          <w:szCs w:val="32"/>
        </w:rPr>
      </w:pPr>
    </w:p>
    <w:sectPr w:rsidR="001F6413" w:rsidSect="001F64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0A" w:rsidRDefault="0019740A" w:rsidP="0071546E">
      <w:r>
        <w:separator/>
      </w:r>
    </w:p>
  </w:endnote>
  <w:endnote w:type="continuationSeparator" w:id="0">
    <w:p w:rsidR="0019740A" w:rsidRDefault="0019740A" w:rsidP="00715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0A" w:rsidRDefault="0019740A" w:rsidP="0071546E">
      <w:r>
        <w:separator/>
      </w:r>
    </w:p>
  </w:footnote>
  <w:footnote w:type="continuationSeparator" w:id="0">
    <w:p w:rsidR="0019740A" w:rsidRDefault="0019740A" w:rsidP="00715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A242"/>
    <w:multiLevelType w:val="singleLevel"/>
    <w:tmpl w:val="036BA242"/>
    <w:lvl w:ilvl="0">
      <w:start w:val="7"/>
      <w:numFmt w:val="chineseCounting"/>
      <w:suff w:val="nothing"/>
      <w:lvlText w:val="（%1）"/>
      <w:lvlJc w:val="left"/>
      <w:rPr>
        <w:rFonts w:hint="eastAsia"/>
      </w:rPr>
    </w:lvl>
  </w:abstractNum>
  <w:abstractNum w:abstractNumId="1">
    <w:nsid w:val="1B246B5E"/>
    <w:multiLevelType w:val="singleLevel"/>
    <w:tmpl w:val="1B246B5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FBA"/>
    <w:rsid w:val="0019740A"/>
    <w:rsid w:val="001F6413"/>
    <w:rsid w:val="004338C7"/>
    <w:rsid w:val="0069200C"/>
    <w:rsid w:val="0071546E"/>
    <w:rsid w:val="009A6475"/>
    <w:rsid w:val="009D26DE"/>
    <w:rsid w:val="00B87FBA"/>
    <w:rsid w:val="00E110CE"/>
    <w:rsid w:val="00E23772"/>
    <w:rsid w:val="00EE2642"/>
    <w:rsid w:val="00EF0B70"/>
    <w:rsid w:val="00F37E62"/>
    <w:rsid w:val="00FE153F"/>
    <w:rsid w:val="033348CC"/>
    <w:rsid w:val="1B1945BD"/>
    <w:rsid w:val="3A5373C4"/>
    <w:rsid w:val="4D682A6E"/>
    <w:rsid w:val="51D01405"/>
    <w:rsid w:val="64A874C3"/>
    <w:rsid w:val="6D761286"/>
    <w:rsid w:val="7E852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F6413"/>
    <w:pPr>
      <w:widowControl w:val="0"/>
      <w:jc w:val="both"/>
    </w:pPr>
    <w:rPr>
      <w:kern w:val="2"/>
      <w:sz w:val="21"/>
      <w:szCs w:val="24"/>
    </w:rPr>
  </w:style>
  <w:style w:type="paragraph" w:styleId="1">
    <w:name w:val="heading 1"/>
    <w:basedOn w:val="a"/>
    <w:rsid w:val="001F641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F6413"/>
    <w:pPr>
      <w:tabs>
        <w:tab w:val="center" w:pos="4153"/>
        <w:tab w:val="right" w:pos="8306"/>
      </w:tabs>
      <w:snapToGrid w:val="0"/>
      <w:jc w:val="left"/>
    </w:pPr>
    <w:rPr>
      <w:sz w:val="18"/>
      <w:szCs w:val="18"/>
    </w:rPr>
  </w:style>
  <w:style w:type="paragraph" w:styleId="a4">
    <w:name w:val="header"/>
    <w:basedOn w:val="a"/>
    <w:rsid w:val="001F6413"/>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1F6413"/>
    <w:pPr>
      <w:widowControl/>
      <w:spacing w:before="100" w:beforeAutospacing="1" w:after="100" w:afterAutospacing="1"/>
      <w:jc w:val="left"/>
    </w:pPr>
    <w:rPr>
      <w:rFonts w:ascii="宋体" w:hAnsi="宋体" w:cs="宋体"/>
      <w:kern w:val="0"/>
      <w:sz w:val="24"/>
    </w:rPr>
  </w:style>
  <w:style w:type="character" w:styleId="a6">
    <w:name w:val="Strong"/>
    <w:basedOn w:val="a0"/>
    <w:rsid w:val="001F6413"/>
    <w:rPr>
      <w:b/>
      <w:bCs/>
    </w:rPr>
  </w:style>
  <w:style w:type="character" w:styleId="a7">
    <w:name w:val="Hyperlink"/>
    <w:basedOn w:val="a0"/>
    <w:rsid w:val="001F641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zj.ganzhou.gov.cn/u/cms/www/201903/25105028hasg.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503</Words>
  <Characters>2873</Characters>
  <Application>Microsoft Office Word</Application>
  <DocSecurity>0</DocSecurity>
  <Lines>23</Lines>
  <Paragraphs>6</Paragraphs>
  <ScaleCrop>false</ScaleCrop>
  <Company>CHINA</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赣州市财政局2019年部门预算</dc:title>
  <dc:creator>CN=党校/OU=办公室/OU=党校/OU=崇义县/OU=赣州市/O=jiangxi</dc:creator>
  <cp:lastModifiedBy>Windows 用户</cp:lastModifiedBy>
  <cp:revision>6</cp:revision>
  <dcterms:created xsi:type="dcterms:W3CDTF">2019-06-06T06:22:00Z</dcterms:created>
  <dcterms:modified xsi:type="dcterms:W3CDTF">2021-05-19T02:36:00Z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