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001" w:rsidRDefault="00BB7001" w:rsidP="00BB7001">
      <w:pPr>
        <w:adjustRightInd w:val="0"/>
        <w:spacing w:line="520" w:lineRule="exact"/>
        <w:rPr>
          <w:rFonts w:ascii="黑体" w:eastAsia="黑体" w:hAnsi="黑体" w:cs="黑体"/>
          <w:sz w:val="28"/>
          <w:szCs w:val="28"/>
        </w:rPr>
      </w:pPr>
      <w:r>
        <w:rPr>
          <w:rFonts w:ascii="黑体" w:eastAsia="黑体" w:hAnsi="黑体" w:cs="黑体" w:hint="eastAsia"/>
          <w:sz w:val="28"/>
          <w:szCs w:val="28"/>
        </w:rPr>
        <w:t>附件1：</w:t>
      </w:r>
    </w:p>
    <w:p w:rsidR="00BB7001" w:rsidRDefault="00BB7001" w:rsidP="00BB7001">
      <w:pPr>
        <w:adjustRightInd w:val="0"/>
        <w:spacing w:line="520" w:lineRule="exact"/>
        <w:jc w:val="center"/>
        <w:rPr>
          <w:rFonts w:ascii="仿宋_GB2312" w:eastAsia="仿宋_GB2312"/>
          <w:sz w:val="32"/>
          <w:szCs w:val="32"/>
        </w:rPr>
      </w:pPr>
      <w:r>
        <w:rPr>
          <w:rFonts w:ascii="方正小标宋简体" w:eastAsia="方正小标宋简体" w:hAnsi="方正小标宋简体" w:cs="方正小标宋简体" w:hint="eastAsia"/>
          <w:sz w:val="32"/>
          <w:szCs w:val="32"/>
        </w:rPr>
        <w:t>崇义县教育现代化推进工程普惠托育服务专项行动2020年中央预算内投资计划下达表</w:t>
      </w:r>
    </w:p>
    <w:p w:rsidR="00BB7001" w:rsidRDefault="00BB7001" w:rsidP="00BB7001">
      <w:pPr>
        <w:adjustRightInd w:val="0"/>
        <w:spacing w:line="52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28"/>
          <w:szCs w:val="28"/>
        </w:rPr>
        <w:t>单位：万元</w:t>
      </w:r>
    </w:p>
    <w:tbl>
      <w:tblPr>
        <w:tblW w:w="15000" w:type="dxa"/>
        <w:tblInd w:w="-1178" w:type="dxa"/>
        <w:tblCellMar>
          <w:left w:w="0" w:type="dxa"/>
          <w:right w:w="0" w:type="dxa"/>
        </w:tblCellMar>
        <w:tblLook w:val="04A0" w:firstRow="1" w:lastRow="0" w:firstColumn="1" w:lastColumn="0" w:noHBand="0" w:noVBand="1"/>
      </w:tblPr>
      <w:tblGrid>
        <w:gridCol w:w="495"/>
        <w:gridCol w:w="1485"/>
        <w:gridCol w:w="615"/>
        <w:gridCol w:w="1785"/>
        <w:gridCol w:w="675"/>
        <w:gridCol w:w="675"/>
        <w:gridCol w:w="1560"/>
        <w:gridCol w:w="675"/>
        <w:gridCol w:w="675"/>
        <w:gridCol w:w="675"/>
        <w:gridCol w:w="675"/>
        <w:gridCol w:w="990"/>
        <w:gridCol w:w="2145"/>
        <w:gridCol w:w="1395"/>
        <w:gridCol w:w="480"/>
      </w:tblGrid>
      <w:tr w:rsidR="00BB7001" w:rsidTr="00D41640">
        <w:trPr>
          <w:trHeight w:val="522"/>
        </w:trPr>
        <w:tc>
          <w:tcPr>
            <w:tcW w:w="4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序号</w:t>
            </w:r>
          </w:p>
        </w:tc>
        <w:tc>
          <w:tcPr>
            <w:tcW w:w="14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项目名称</w:t>
            </w:r>
          </w:p>
        </w:tc>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建设性质</w: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建设规模</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开工时间</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竣工时间</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投资类别</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总投资</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已下达投资</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累计完成投资</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本次申请投资</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年度建设内容</w:t>
            </w:r>
          </w:p>
        </w:tc>
        <w:tc>
          <w:tcPr>
            <w:tcW w:w="21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项目（法人）单位及项目负责人</w:t>
            </w:r>
          </w:p>
        </w:tc>
        <w:tc>
          <w:tcPr>
            <w:tcW w:w="13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日常监管直接责任单位及监管责任人</w:t>
            </w:r>
          </w:p>
        </w:tc>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备注</w:t>
            </w:r>
          </w:p>
        </w:tc>
      </w:tr>
      <w:tr w:rsidR="00BB7001" w:rsidTr="00D41640">
        <w:trPr>
          <w:trHeight w:val="522"/>
        </w:trPr>
        <w:tc>
          <w:tcPr>
            <w:tcW w:w="4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b/>
                <w:color w:val="000000"/>
                <w:sz w:val="20"/>
                <w:szCs w:val="20"/>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b/>
                <w:color w:val="000000"/>
                <w:sz w:val="20"/>
                <w:szCs w:val="20"/>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b/>
                <w:color w:val="000000"/>
                <w:sz w:val="20"/>
                <w:szCs w:val="20"/>
              </w:rPr>
            </w:pPr>
          </w:p>
        </w:tc>
        <w:tc>
          <w:tcPr>
            <w:tcW w:w="17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b/>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b/>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b/>
                <w:color w:val="000000"/>
                <w:sz w:val="20"/>
                <w:szCs w:val="20"/>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b/>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b/>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b/>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b/>
                <w:color w:val="000000"/>
                <w:sz w:val="20"/>
                <w:szCs w:val="20"/>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b/>
                <w:color w:val="000000"/>
                <w:sz w:val="20"/>
                <w:szCs w:val="20"/>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b/>
                <w:color w:val="000000"/>
                <w:sz w:val="20"/>
                <w:szCs w:val="20"/>
              </w:rPr>
            </w:pPr>
          </w:p>
        </w:tc>
        <w:tc>
          <w:tcPr>
            <w:tcW w:w="21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b/>
                <w:color w:val="000000"/>
                <w:sz w:val="20"/>
                <w:szCs w:val="20"/>
              </w:rPr>
            </w:pPr>
          </w:p>
        </w:tc>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b/>
                <w:color w:val="000000"/>
                <w:sz w:val="20"/>
                <w:szCs w:val="20"/>
              </w:rPr>
            </w:pP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b/>
                <w:color w:val="000000"/>
                <w:sz w:val="20"/>
                <w:szCs w:val="20"/>
              </w:rPr>
            </w:pPr>
          </w:p>
        </w:tc>
      </w:tr>
      <w:tr w:rsidR="00BB7001" w:rsidTr="00D41640">
        <w:trPr>
          <w:trHeight w:val="360"/>
        </w:trPr>
        <w:tc>
          <w:tcPr>
            <w:tcW w:w="5730"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合计共2项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合计</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777</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7001" w:rsidRDefault="00BB7001" w:rsidP="00D4164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0</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7001" w:rsidRDefault="00BB7001" w:rsidP="00D4164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777</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color w:val="000000"/>
                <w:sz w:val="18"/>
                <w:szCs w:val="18"/>
              </w:rPr>
            </w:pPr>
          </w:p>
        </w:tc>
        <w:tc>
          <w:tcPr>
            <w:tcW w:w="21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color w:val="000000"/>
                <w:sz w:val="18"/>
                <w:szCs w:val="18"/>
              </w:rPr>
            </w:pPr>
          </w:p>
        </w:tc>
        <w:tc>
          <w:tcPr>
            <w:tcW w:w="13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color w:val="000000"/>
                <w:sz w:val="18"/>
                <w:szCs w:val="18"/>
              </w:rPr>
            </w:pPr>
          </w:p>
        </w:tc>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color w:val="000000"/>
                <w:sz w:val="18"/>
                <w:szCs w:val="18"/>
              </w:rPr>
            </w:pPr>
          </w:p>
        </w:tc>
      </w:tr>
      <w:tr w:rsidR="00BB7001" w:rsidTr="00D41640">
        <w:trPr>
          <w:trHeight w:val="360"/>
        </w:trPr>
        <w:tc>
          <w:tcPr>
            <w:tcW w:w="5730"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b/>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中央预算内投资</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271</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7001" w:rsidRDefault="00BB7001" w:rsidP="00D4164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0</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7001" w:rsidRDefault="00BB7001" w:rsidP="00D4164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271</w:t>
            </w: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color w:val="000000"/>
                <w:sz w:val="18"/>
                <w:szCs w:val="18"/>
              </w:rPr>
            </w:pPr>
          </w:p>
        </w:tc>
        <w:tc>
          <w:tcPr>
            <w:tcW w:w="21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color w:val="000000"/>
                <w:sz w:val="18"/>
                <w:szCs w:val="18"/>
              </w:rPr>
            </w:pPr>
          </w:p>
        </w:tc>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color w:val="000000"/>
                <w:sz w:val="18"/>
                <w:szCs w:val="18"/>
              </w:rPr>
            </w:pP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color w:val="000000"/>
                <w:sz w:val="18"/>
                <w:szCs w:val="18"/>
              </w:rPr>
            </w:pPr>
          </w:p>
        </w:tc>
      </w:tr>
      <w:tr w:rsidR="00BB7001" w:rsidTr="00D41640">
        <w:trPr>
          <w:trHeight w:val="360"/>
        </w:trPr>
        <w:tc>
          <w:tcPr>
            <w:tcW w:w="5730"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b/>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其他投资</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506</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7001" w:rsidRDefault="00BB7001" w:rsidP="00D4164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0</w:t>
            </w:r>
          </w:p>
        </w:tc>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7001" w:rsidRDefault="00BB7001" w:rsidP="00D4164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506</w:t>
            </w: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color w:val="000000"/>
                <w:sz w:val="18"/>
                <w:szCs w:val="18"/>
              </w:rPr>
            </w:pPr>
          </w:p>
        </w:tc>
        <w:tc>
          <w:tcPr>
            <w:tcW w:w="21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color w:val="000000"/>
                <w:sz w:val="18"/>
                <w:szCs w:val="18"/>
              </w:rPr>
            </w:pPr>
          </w:p>
        </w:tc>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color w:val="000000"/>
                <w:sz w:val="18"/>
                <w:szCs w:val="18"/>
              </w:rPr>
            </w:pP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color w:val="000000"/>
                <w:sz w:val="18"/>
                <w:szCs w:val="18"/>
              </w:rPr>
            </w:pPr>
          </w:p>
        </w:tc>
      </w:tr>
      <w:tr w:rsidR="00BB7001" w:rsidTr="00D41640">
        <w:trPr>
          <w:trHeight w:val="360"/>
        </w:trPr>
        <w:tc>
          <w:tcPr>
            <w:tcW w:w="4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1</w:t>
            </w:r>
          </w:p>
        </w:tc>
        <w:tc>
          <w:tcPr>
            <w:tcW w:w="14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赣州市崇义县城北片区示范性托育服务机构</w:t>
            </w:r>
          </w:p>
        </w:tc>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改扩建</w: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总面积996平方米，新增托位150个</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2019</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2021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合计</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450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450</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装修改扩建</w:t>
            </w:r>
          </w:p>
        </w:tc>
        <w:tc>
          <w:tcPr>
            <w:tcW w:w="21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崇义县爱丝珂玲教育信息咨询有限公司（崇义县新爱婴城北幼儿园）</w:t>
            </w:r>
          </w:p>
          <w:p w:rsidR="00BB7001" w:rsidRDefault="00BB7001" w:rsidP="00D4164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吴文倩</w:t>
            </w:r>
          </w:p>
        </w:tc>
        <w:tc>
          <w:tcPr>
            <w:tcW w:w="13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崇义县卫健委  刘振红</w:t>
            </w:r>
          </w:p>
        </w:tc>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color w:val="000000"/>
                <w:sz w:val="18"/>
                <w:szCs w:val="18"/>
              </w:rPr>
            </w:pPr>
          </w:p>
        </w:tc>
      </w:tr>
      <w:tr w:rsidR="00BB7001" w:rsidTr="00D41640">
        <w:trPr>
          <w:trHeight w:val="360"/>
        </w:trPr>
        <w:tc>
          <w:tcPr>
            <w:tcW w:w="4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b/>
                <w:color w:val="000000"/>
                <w:sz w:val="18"/>
                <w:szCs w:val="18"/>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color w:val="000000"/>
                <w:sz w:val="18"/>
                <w:szCs w:val="18"/>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color w:val="000000"/>
                <w:sz w:val="18"/>
                <w:szCs w:val="18"/>
              </w:rPr>
            </w:pPr>
          </w:p>
        </w:tc>
        <w:tc>
          <w:tcPr>
            <w:tcW w:w="17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color w:val="000000"/>
                <w:sz w:val="18"/>
                <w:szCs w:val="18"/>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color w:val="000000"/>
                <w:sz w:val="18"/>
                <w:szCs w:val="18"/>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中央预算内投资</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150</w:t>
            </w: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color w:val="000000"/>
                <w:sz w:val="18"/>
                <w:szCs w:val="18"/>
              </w:rPr>
            </w:pPr>
          </w:p>
        </w:tc>
        <w:tc>
          <w:tcPr>
            <w:tcW w:w="21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color w:val="000000"/>
                <w:sz w:val="18"/>
                <w:szCs w:val="18"/>
              </w:rPr>
            </w:pPr>
          </w:p>
        </w:tc>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color w:val="000000"/>
                <w:sz w:val="18"/>
                <w:szCs w:val="18"/>
              </w:rPr>
            </w:pP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color w:val="000000"/>
                <w:sz w:val="18"/>
                <w:szCs w:val="18"/>
              </w:rPr>
            </w:pPr>
          </w:p>
        </w:tc>
      </w:tr>
      <w:tr w:rsidR="00BB7001" w:rsidTr="00D41640">
        <w:trPr>
          <w:trHeight w:val="360"/>
        </w:trPr>
        <w:tc>
          <w:tcPr>
            <w:tcW w:w="4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b/>
                <w:color w:val="000000"/>
                <w:sz w:val="18"/>
                <w:szCs w:val="18"/>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color w:val="000000"/>
                <w:sz w:val="18"/>
                <w:szCs w:val="18"/>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color w:val="000000"/>
                <w:sz w:val="18"/>
                <w:szCs w:val="18"/>
              </w:rPr>
            </w:pPr>
          </w:p>
        </w:tc>
        <w:tc>
          <w:tcPr>
            <w:tcW w:w="17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color w:val="000000"/>
                <w:sz w:val="18"/>
                <w:szCs w:val="18"/>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color w:val="000000"/>
                <w:sz w:val="18"/>
                <w:szCs w:val="18"/>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其他投资</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300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300</w:t>
            </w: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color w:val="000000"/>
                <w:sz w:val="18"/>
                <w:szCs w:val="18"/>
              </w:rPr>
            </w:pPr>
          </w:p>
        </w:tc>
        <w:tc>
          <w:tcPr>
            <w:tcW w:w="21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color w:val="000000"/>
                <w:sz w:val="18"/>
                <w:szCs w:val="18"/>
              </w:rPr>
            </w:pPr>
          </w:p>
        </w:tc>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color w:val="000000"/>
                <w:sz w:val="18"/>
                <w:szCs w:val="18"/>
              </w:rPr>
            </w:pP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color w:val="000000"/>
                <w:sz w:val="18"/>
                <w:szCs w:val="18"/>
              </w:rPr>
            </w:pPr>
          </w:p>
        </w:tc>
      </w:tr>
      <w:tr w:rsidR="00BB7001" w:rsidTr="00D41640">
        <w:trPr>
          <w:trHeight w:val="360"/>
        </w:trPr>
        <w:tc>
          <w:tcPr>
            <w:tcW w:w="4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2</w:t>
            </w:r>
          </w:p>
        </w:tc>
        <w:tc>
          <w:tcPr>
            <w:tcW w:w="14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赣州市崇义县老城中心示范性托育服务机构</w:t>
            </w:r>
          </w:p>
        </w:tc>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改扩建</w:t>
            </w:r>
          </w:p>
        </w:tc>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总面积736.6平方米，新增托位121个</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2020</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2021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合计</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327</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327</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装修改扩建</w:t>
            </w:r>
          </w:p>
        </w:tc>
        <w:tc>
          <w:tcPr>
            <w:tcW w:w="21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崇义县才智幼儿园      张龙阳</w:t>
            </w:r>
          </w:p>
        </w:tc>
        <w:tc>
          <w:tcPr>
            <w:tcW w:w="13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崇义县卫健委  刘振红</w:t>
            </w:r>
          </w:p>
        </w:tc>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color w:val="000000"/>
                <w:sz w:val="18"/>
                <w:szCs w:val="18"/>
              </w:rPr>
            </w:pPr>
          </w:p>
        </w:tc>
      </w:tr>
      <w:tr w:rsidR="00BB7001" w:rsidTr="00D41640">
        <w:trPr>
          <w:trHeight w:val="360"/>
        </w:trPr>
        <w:tc>
          <w:tcPr>
            <w:tcW w:w="4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b/>
                <w:color w:val="000000"/>
                <w:sz w:val="18"/>
                <w:szCs w:val="18"/>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color w:val="000000"/>
                <w:sz w:val="18"/>
                <w:szCs w:val="18"/>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color w:val="000000"/>
                <w:sz w:val="18"/>
                <w:szCs w:val="18"/>
              </w:rPr>
            </w:pPr>
          </w:p>
        </w:tc>
        <w:tc>
          <w:tcPr>
            <w:tcW w:w="17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color w:val="000000"/>
                <w:sz w:val="18"/>
                <w:szCs w:val="18"/>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color w:val="000000"/>
                <w:sz w:val="18"/>
                <w:szCs w:val="18"/>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中央预算内投资</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121</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121</w:t>
            </w: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color w:val="000000"/>
                <w:sz w:val="18"/>
                <w:szCs w:val="18"/>
              </w:rPr>
            </w:pPr>
          </w:p>
        </w:tc>
        <w:tc>
          <w:tcPr>
            <w:tcW w:w="21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color w:val="000000"/>
                <w:sz w:val="18"/>
                <w:szCs w:val="18"/>
              </w:rPr>
            </w:pPr>
          </w:p>
        </w:tc>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color w:val="000000"/>
                <w:sz w:val="18"/>
                <w:szCs w:val="18"/>
              </w:rPr>
            </w:pP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color w:val="000000"/>
                <w:sz w:val="18"/>
                <w:szCs w:val="18"/>
              </w:rPr>
            </w:pPr>
          </w:p>
        </w:tc>
      </w:tr>
      <w:tr w:rsidR="00BB7001" w:rsidTr="00D41640">
        <w:trPr>
          <w:trHeight w:val="360"/>
        </w:trPr>
        <w:tc>
          <w:tcPr>
            <w:tcW w:w="4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b/>
                <w:color w:val="000000"/>
                <w:sz w:val="18"/>
                <w:szCs w:val="18"/>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color w:val="000000"/>
                <w:sz w:val="18"/>
                <w:szCs w:val="18"/>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color w:val="000000"/>
                <w:sz w:val="18"/>
                <w:szCs w:val="18"/>
              </w:rPr>
            </w:pPr>
          </w:p>
        </w:tc>
        <w:tc>
          <w:tcPr>
            <w:tcW w:w="17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color w:val="000000"/>
                <w:sz w:val="18"/>
                <w:szCs w:val="18"/>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color w:val="000000"/>
                <w:sz w:val="18"/>
                <w:szCs w:val="18"/>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color w:val="000000"/>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其他投资</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206</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206</w:t>
            </w: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color w:val="000000"/>
                <w:sz w:val="18"/>
                <w:szCs w:val="18"/>
              </w:rPr>
            </w:pPr>
          </w:p>
        </w:tc>
        <w:tc>
          <w:tcPr>
            <w:tcW w:w="21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color w:val="000000"/>
                <w:sz w:val="18"/>
                <w:szCs w:val="18"/>
              </w:rPr>
            </w:pPr>
          </w:p>
        </w:tc>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color w:val="000000"/>
                <w:sz w:val="18"/>
                <w:szCs w:val="18"/>
              </w:rPr>
            </w:pP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7001" w:rsidRDefault="00BB7001" w:rsidP="00D41640">
            <w:pPr>
              <w:jc w:val="center"/>
              <w:rPr>
                <w:rFonts w:ascii="宋体" w:hAnsi="宋体" w:cs="宋体"/>
                <w:color w:val="000000"/>
                <w:sz w:val="18"/>
                <w:szCs w:val="18"/>
              </w:rPr>
            </w:pPr>
          </w:p>
        </w:tc>
      </w:tr>
    </w:tbl>
    <w:p w:rsidR="00BB7001" w:rsidRDefault="00BB7001" w:rsidP="00BB7001">
      <w:pPr>
        <w:adjustRightInd w:val="0"/>
        <w:spacing w:line="520" w:lineRule="exact"/>
        <w:rPr>
          <w:rFonts w:ascii="仿宋_GB2312" w:eastAsia="仿宋_GB2312"/>
          <w:sz w:val="32"/>
          <w:szCs w:val="32"/>
        </w:rPr>
        <w:sectPr w:rsidR="00BB7001">
          <w:pgSz w:w="16838" w:h="11906" w:orient="landscape"/>
          <w:pgMar w:top="1588" w:right="2098" w:bottom="1474" w:left="1985" w:header="720" w:footer="1701" w:gutter="0"/>
          <w:pgNumType w:fmt="numberInDash"/>
          <w:cols w:space="720"/>
          <w:docGrid w:type="lines" w:linePitch="312"/>
        </w:sectPr>
      </w:pPr>
    </w:p>
    <w:p w:rsidR="00BB7001" w:rsidRDefault="00BB7001" w:rsidP="00BB7001">
      <w:pPr>
        <w:spacing w:line="520" w:lineRule="exact"/>
        <w:rPr>
          <w:rFonts w:ascii="黑体" w:eastAsia="黑体" w:hAnsi="黑体" w:cs="黑体"/>
          <w:sz w:val="28"/>
          <w:szCs w:val="28"/>
        </w:rPr>
      </w:pPr>
      <w:r>
        <w:rPr>
          <w:rFonts w:ascii="黑体" w:eastAsia="黑体" w:hAnsi="黑体" w:cs="黑体" w:hint="eastAsia"/>
          <w:sz w:val="28"/>
          <w:szCs w:val="28"/>
        </w:rPr>
        <w:lastRenderedPageBreak/>
        <w:t>附件2：</w:t>
      </w:r>
    </w:p>
    <w:p w:rsidR="00BB7001" w:rsidRDefault="00BB7001" w:rsidP="00BB7001">
      <w:pPr>
        <w:spacing w:line="540" w:lineRule="exact"/>
        <w:ind w:firstLine="420"/>
        <w:jc w:val="center"/>
        <w:rPr>
          <w:rFonts w:ascii="仿宋_GB2312" w:eastAsia="仿宋_GB2312" w:hAnsi="仿宋_GB2312" w:cs="仿宋_GB2312"/>
          <w:sz w:val="32"/>
          <w:szCs w:val="32"/>
        </w:rPr>
      </w:pPr>
      <w:r>
        <w:rPr>
          <w:rFonts w:ascii="方正小标宋简体" w:eastAsia="方正小标宋简体" w:hAnsi="方正小标宋简体" w:cs="方正小标宋简体" w:hint="eastAsia"/>
          <w:sz w:val="36"/>
          <w:szCs w:val="36"/>
        </w:rPr>
        <w:t>综合信用承诺书</w:t>
      </w:r>
    </w:p>
    <w:p w:rsidR="00BB7001" w:rsidRDefault="00BB7001" w:rsidP="00BB7001">
      <w:pPr>
        <w:spacing w:line="54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BB7001" w:rsidRDefault="00BB7001" w:rsidP="00BB7001">
      <w:pPr>
        <w:spacing w:line="54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中央预算内投资项目管理的有关规定我们已知悉。我单位经审慎研究，郑重作出以下承诺：</w:t>
      </w:r>
    </w:p>
    <w:p w:rsidR="00BB7001" w:rsidRDefault="00BB7001" w:rsidP="00BB7001">
      <w:pPr>
        <w:spacing w:line="54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一、严格依照国家有关法律法规及中央预算内投资管理的有关规定申报项目、履行报建手续。</w:t>
      </w:r>
    </w:p>
    <w:p w:rsidR="00BB7001" w:rsidRDefault="00BB7001" w:rsidP="00BB7001">
      <w:pPr>
        <w:spacing w:line="54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二、严格按批复的建设规模、内容、方案和工期组织项目建设，严格执行下达的中央预算内投资计划。</w:t>
      </w:r>
    </w:p>
    <w:p w:rsidR="00BB7001" w:rsidRDefault="00BB7001" w:rsidP="00BB7001">
      <w:pPr>
        <w:spacing w:line="54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三、承担的项目纳入全国投资项目在线审批监管平台和国家重大建设项目库稽察监管体系，严格按要求及时报送项目信息和进度数据，保证信息数据的真实、准确和完整。     </w:t>
      </w:r>
    </w:p>
    <w:p w:rsidR="00BB7001" w:rsidRDefault="00BB7001" w:rsidP="00BB700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四、积极配合稽察检查工作，严格按照要求认真整改存在的问题。</w:t>
      </w:r>
    </w:p>
    <w:p w:rsidR="00BB7001" w:rsidRDefault="00BB7001" w:rsidP="00BB7001">
      <w:pPr>
        <w:spacing w:line="54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此承诺书扫描件在签署后加载至国家重大建设项目库备案。如违反承诺，将依法依规承担相应责任，并自愿接受惩戒。</w:t>
      </w:r>
    </w:p>
    <w:p w:rsidR="00BB7001" w:rsidRDefault="00BB7001" w:rsidP="00BB700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特此承诺。</w:t>
      </w:r>
    </w:p>
    <w:p w:rsidR="00BB7001" w:rsidRDefault="00BB7001" w:rsidP="00BB700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项目名称：________________________</w:t>
      </w:r>
    </w:p>
    <w:p w:rsidR="00BB7001" w:rsidRDefault="00BB7001" w:rsidP="00BB7001">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信息数据填报联系人：_____________</w:t>
      </w:r>
    </w:p>
    <w:p w:rsidR="00BB7001" w:rsidRDefault="00BB7001" w:rsidP="00BB7001">
      <w:pPr>
        <w:spacing w:line="540" w:lineRule="exact"/>
        <w:ind w:leftChars="304" w:left="4798" w:hangingChars="1300" w:hanging="41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手机：__________ 座机：_________                     项目单位（法人）盖章</w:t>
      </w:r>
    </w:p>
    <w:p w:rsidR="00BB7001" w:rsidRDefault="00BB7001" w:rsidP="00BB7001">
      <w:pPr>
        <w:spacing w:line="54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法人代表签字：</w:t>
      </w:r>
    </w:p>
    <w:p w:rsidR="00BB7001" w:rsidRDefault="00BB7001" w:rsidP="00BB7001">
      <w:pPr>
        <w:spacing w:line="54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年  月  日</w:t>
      </w:r>
    </w:p>
    <w:p w:rsidR="00BB7001" w:rsidRDefault="00BB7001" w:rsidP="00BB7001">
      <w:pPr>
        <w:spacing w:line="520" w:lineRule="exact"/>
        <w:rPr>
          <w:rFonts w:ascii="黑体" w:eastAsia="黑体" w:hAnsi="黑体" w:cs="黑体" w:hint="eastAsia"/>
          <w:sz w:val="28"/>
          <w:szCs w:val="28"/>
        </w:rPr>
      </w:pPr>
    </w:p>
    <w:p w:rsidR="00BB7001" w:rsidRDefault="00BB7001" w:rsidP="00BB7001">
      <w:pPr>
        <w:spacing w:line="520" w:lineRule="exact"/>
        <w:rPr>
          <w:rFonts w:ascii="黑体" w:eastAsia="黑体" w:hAnsi="黑体" w:cs="黑体"/>
          <w:sz w:val="28"/>
          <w:szCs w:val="28"/>
        </w:rPr>
      </w:pPr>
      <w:bookmarkStart w:id="0" w:name="_GoBack"/>
      <w:bookmarkEnd w:id="0"/>
      <w:r>
        <w:rPr>
          <w:rFonts w:ascii="黑体" w:eastAsia="黑体" w:hAnsi="黑体" w:cs="黑体" w:hint="eastAsia"/>
          <w:sz w:val="28"/>
          <w:szCs w:val="28"/>
        </w:rPr>
        <w:lastRenderedPageBreak/>
        <w:t>附件3：</w:t>
      </w:r>
    </w:p>
    <w:p w:rsidR="00BB7001" w:rsidRDefault="00BB7001" w:rsidP="00BB7001">
      <w:pPr>
        <w:adjustRightInd w:val="0"/>
        <w:spacing w:line="6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教育现代化推进工程普惠托育服务专项行动</w:t>
      </w:r>
    </w:p>
    <w:p w:rsidR="00BB7001" w:rsidRDefault="00BB7001" w:rsidP="00BB7001">
      <w:pPr>
        <w:adjustRightInd w:val="0"/>
        <w:spacing w:line="6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2020年中央预算内投资计划绩效目标表</w:t>
      </w:r>
    </w:p>
    <w:p w:rsidR="00BB7001" w:rsidRDefault="00BB7001" w:rsidP="00BB7001">
      <w:pPr>
        <w:spacing w:line="560" w:lineRule="exact"/>
        <w:jc w:val="center"/>
        <w:rPr>
          <w:rFonts w:ascii="方正楷体_GBK" w:eastAsia="方正楷体_GBK" w:hAnsi="黑体"/>
          <w:sz w:val="30"/>
          <w:szCs w:val="30"/>
        </w:rPr>
      </w:pPr>
      <w:r>
        <w:rPr>
          <w:rFonts w:ascii="方正楷体_GBK" w:eastAsia="方正楷体_GBK" w:hAnsi="黑体" w:hint="eastAsia"/>
          <w:sz w:val="30"/>
          <w:szCs w:val="30"/>
        </w:rPr>
        <w:t>（2020年度）</w:t>
      </w:r>
    </w:p>
    <w:tbl>
      <w:tblPr>
        <w:tblpPr w:leftFromText="180" w:rightFromText="180" w:vertAnchor="text" w:horzAnchor="page" w:tblpX="1615" w:tblpY="257"/>
        <w:tblOverlap w:val="neve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1495"/>
        <w:gridCol w:w="1650"/>
        <w:gridCol w:w="1218"/>
        <w:gridCol w:w="2475"/>
        <w:gridCol w:w="1737"/>
      </w:tblGrid>
      <w:tr w:rsidR="00BB7001" w:rsidTr="00D41640">
        <w:trPr>
          <w:trHeight w:val="400"/>
        </w:trPr>
        <w:tc>
          <w:tcPr>
            <w:tcW w:w="4908" w:type="dxa"/>
            <w:gridSpan w:val="4"/>
            <w:vAlign w:val="center"/>
          </w:tcPr>
          <w:p w:rsidR="00BB7001" w:rsidRDefault="00BB7001" w:rsidP="00D41640">
            <w:pPr>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专项名称</w:t>
            </w:r>
          </w:p>
        </w:tc>
        <w:tc>
          <w:tcPr>
            <w:tcW w:w="4212" w:type="dxa"/>
            <w:gridSpan w:val="2"/>
            <w:vAlign w:val="center"/>
          </w:tcPr>
          <w:p w:rsidR="00BB7001" w:rsidRDefault="00BB7001" w:rsidP="00D41640">
            <w:pPr>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教育现代化推进工程普惠托育服务专项行动</w:t>
            </w:r>
          </w:p>
        </w:tc>
      </w:tr>
      <w:tr w:rsidR="00BB7001" w:rsidTr="00D41640">
        <w:trPr>
          <w:trHeight w:val="400"/>
        </w:trPr>
        <w:tc>
          <w:tcPr>
            <w:tcW w:w="4908" w:type="dxa"/>
            <w:gridSpan w:val="4"/>
            <w:vAlign w:val="center"/>
          </w:tcPr>
          <w:p w:rsidR="00BB7001" w:rsidRDefault="00BB7001" w:rsidP="00D41640">
            <w:pPr>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下达地方或单位</w:t>
            </w:r>
          </w:p>
        </w:tc>
        <w:tc>
          <w:tcPr>
            <w:tcW w:w="4212" w:type="dxa"/>
            <w:gridSpan w:val="2"/>
            <w:vAlign w:val="center"/>
          </w:tcPr>
          <w:p w:rsidR="00BB7001" w:rsidRDefault="00BB7001" w:rsidP="00D41640">
            <w:pPr>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崇义县卫生健康委员会</w:t>
            </w:r>
          </w:p>
        </w:tc>
      </w:tr>
      <w:tr w:rsidR="00BB7001" w:rsidTr="00D41640">
        <w:trPr>
          <w:trHeight w:val="400"/>
        </w:trPr>
        <w:tc>
          <w:tcPr>
            <w:tcW w:w="4908" w:type="dxa"/>
            <w:gridSpan w:val="4"/>
            <w:vAlign w:val="center"/>
          </w:tcPr>
          <w:p w:rsidR="00BB7001" w:rsidRDefault="00BB7001" w:rsidP="00D41640">
            <w:pPr>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本次下达中央预算内投资（万元）</w:t>
            </w:r>
          </w:p>
        </w:tc>
        <w:tc>
          <w:tcPr>
            <w:tcW w:w="4212" w:type="dxa"/>
            <w:gridSpan w:val="2"/>
            <w:vAlign w:val="center"/>
          </w:tcPr>
          <w:p w:rsidR="00BB7001" w:rsidRDefault="00BB7001" w:rsidP="00D41640">
            <w:pPr>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271</w:t>
            </w:r>
          </w:p>
        </w:tc>
      </w:tr>
      <w:tr w:rsidR="00BB7001" w:rsidTr="00D41640">
        <w:trPr>
          <w:trHeight w:val="531"/>
        </w:trPr>
        <w:tc>
          <w:tcPr>
            <w:tcW w:w="545" w:type="dxa"/>
            <w:vAlign w:val="center"/>
          </w:tcPr>
          <w:p w:rsidR="00BB7001" w:rsidRDefault="00BB7001" w:rsidP="00D41640">
            <w:pPr>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总</w:t>
            </w:r>
          </w:p>
          <w:p w:rsidR="00BB7001" w:rsidRDefault="00BB7001" w:rsidP="00D41640">
            <w:pPr>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体</w:t>
            </w:r>
          </w:p>
          <w:p w:rsidR="00BB7001" w:rsidRDefault="00BB7001" w:rsidP="00D41640">
            <w:pPr>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目</w:t>
            </w:r>
          </w:p>
          <w:p w:rsidR="00BB7001" w:rsidRDefault="00BB7001" w:rsidP="00D41640">
            <w:pPr>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w:t>
            </w:r>
          </w:p>
        </w:tc>
        <w:tc>
          <w:tcPr>
            <w:tcW w:w="8575" w:type="dxa"/>
            <w:gridSpan w:val="5"/>
            <w:vAlign w:val="center"/>
          </w:tcPr>
          <w:p w:rsidR="00BB7001" w:rsidRDefault="00BB7001" w:rsidP="00D41640">
            <w:pPr>
              <w:spacing w:line="0" w:lineRule="atLeast"/>
              <w:jc w:val="left"/>
              <w:rPr>
                <w:rFonts w:asciiTheme="minorEastAsia" w:eastAsiaTheme="minorEastAsia" w:hAnsiTheme="minorEastAsia" w:cstheme="minorEastAsia"/>
                <w:color w:val="FF0000"/>
                <w:szCs w:val="21"/>
              </w:rPr>
            </w:pPr>
            <w:r>
              <w:rPr>
                <w:rFonts w:asciiTheme="minorEastAsia" w:eastAsiaTheme="minorEastAsia" w:hAnsiTheme="minorEastAsia" w:cstheme="minorEastAsia" w:hint="eastAsia"/>
                <w:szCs w:val="21"/>
              </w:rPr>
              <w:t>建成一批具有一定指导功能的示范性托育服务机构和社区托育服务设施，提升托育服务水平，为婴幼儿家庭提供更好的托育服务。</w:t>
            </w:r>
          </w:p>
        </w:tc>
      </w:tr>
      <w:tr w:rsidR="00BB7001" w:rsidTr="00D41640">
        <w:trPr>
          <w:trHeight w:val="426"/>
        </w:trPr>
        <w:tc>
          <w:tcPr>
            <w:tcW w:w="545" w:type="dxa"/>
            <w:vMerge w:val="restart"/>
            <w:vAlign w:val="center"/>
          </w:tcPr>
          <w:p w:rsidR="00BB7001" w:rsidRDefault="00BB7001" w:rsidP="00D41640">
            <w:pPr>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绩</w:t>
            </w:r>
          </w:p>
          <w:p w:rsidR="00BB7001" w:rsidRDefault="00BB7001" w:rsidP="00D41640">
            <w:pPr>
              <w:spacing w:line="0" w:lineRule="atLeast"/>
              <w:jc w:val="center"/>
              <w:rPr>
                <w:rFonts w:asciiTheme="minorEastAsia" w:eastAsiaTheme="minorEastAsia" w:hAnsiTheme="minorEastAsia" w:cstheme="minorEastAsia"/>
                <w:szCs w:val="21"/>
              </w:rPr>
            </w:pPr>
          </w:p>
          <w:p w:rsidR="00BB7001" w:rsidRDefault="00BB7001" w:rsidP="00D41640">
            <w:pPr>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效</w:t>
            </w:r>
          </w:p>
          <w:p w:rsidR="00BB7001" w:rsidRDefault="00BB7001" w:rsidP="00D41640">
            <w:pPr>
              <w:spacing w:line="0" w:lineRule="atLeast"/>
              <w:jc w:val="center"/>
              <w:rPr>
                <w:rFonts w:asciiTheme="minorEastAsia" w:eastAsiaTheme="minorEastAsia" w:hAnsiTheme="minorEastAsia" w:cstheme="minorEastAsia"/>
                <w:szCs w:val="21"/>
              </w:rPr>
            </w:pPr>
          </w:p>
          <w:p w:rsidR="00BB7001" w:rsidRDefault="00BB7001" w:rsidP="00D41640">
            <w:pPr>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指</w:t>
            </w:r>
          </w:p>
          <w:p w:rsidR="00BB7001" w:rsidRDefault="00BB7001" w:rsidP="00D41640">
            <w:pPr>
              <w:spacing w:line="0" w:lineRule="atLeast"/>
              <w:jc w:val="center"/>
              <w:rPr>
                <w:rFonts w:asciiTheme="minorEastAsia" w:eastAsiaTheme="minorEastAsia" w:hAnsiTheme="minorEastAsia" w:cstheme="minorEastAsia"/>
                <w:szCs w:val="21"/>
              </w:rPr>
            </w:pPr>
          </w:p>
          <w:p w:rsidR="00BB7001" w:rsidRDefault="00BB7001" w:rsidP="00D41640">
            <w:pPr>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w:t>
            </w:r>
          </w:p>
        </w:tc>
        <w:tc>
          <w:tcPr>
            <w:tcW w:w="1495" w:type="dxa"/>
            <w:vAlign w:val="center"/>
          </w:tcPr>
          <w:p w:rsidR="00BB7001" w:rsidRDefault="00BB7001" w:rsidP="00D41640">
            <w:pPr>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一级指标</w:t>
            </w:r>
          </w:p>
        </w:tc>
        <w:tc>
          <w:tcPr>
            <w:tcW w:w="1650" w:type="dxa"/>
            <w:vAlign w:val="center"/>
          </w:tcPr>
          <w:p w:rsidR="00BB7001" w:rsidRDefault="00BB7001" w:rsidP="00D41640">
            <w:pPr>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二级指标</w:t>
            </w:r>
          </w:p>
        </w:tc>
        <w:tc>
          <w:tcPr>
            <w:tcW w:w="3693" w:type="dxa"/>
            <w:gridSpan w:val="2"/>
            <w:vAlign w:val="center"/>
          </w:tcPr>
          <w:p w:rsidR="00BB7001" w:rsidRDefault="00BB7001" w:rsidP="00D41640">
            <w:pPr>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三级指标</w:t>
            </w:r>
          </w:p>
        </w:tc>
        <w:tc>
          <w:tcPr>
            <w:tcW w:w="1737" w:type="dxa"/>
            <w:vAlign w:val="center"/>
          </w:tcPr>
          <w:p w:rsidR="00BB7001" w:rsidRDefault="00BB7001" w:rsidP="00D41640">
            <w:pPr>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指标值</w:t>
            </w:r>
          </w:p>
        </w:tc>
      </w:tr>
      <w:tr w:rsidR="00BB7001" w:rsidTr="00D41640">
        <w:trPr>
          <w:trHeight w:val="426"/>
        </w:trPr>
        <w:tc>
          <w:tcPr>
            <w:tcW w:w="545" w:type="dxa"/>
            <w:vMerge/>
            <w:vAlign w:val="center"/>
          </w:tcPr>
          <w:p w:rsidR="00BB7001" w:rsidRDefault="00BB7001" w:rsidP="00D41640">
            <w:pPr>
              <w:spacing w:line="0" w:lineRule="atLeast"/>
              <w:jc w:val="center"/>
              <w:rPr>
                <w:rFonts w:asciiTheme="minorEastAsia" w:eastAsiaTheme="minorEastAsia" w:hAnsiTheme="minorEastAsia" w:cstheme="minorEastAsia"/>
                <w:szCs w:val="21"/>
              </w:rPr>
            </w:pPr>
          </w:p>
        </w:tc>
        <w:tc>
          <w:tcPr>
            <w:tcW w:w="1495" w:type="dxa"/>
            <w:vMerge w:val="restart"/>
            <w:vAlign w:val="center"/>
          </w:tcPr>
          <w:p w:rsidR="00BB7001" w:rsidRDefault="00BB7001" w:rsidP="00D41640">
            <w:pPr>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实施效果指标</w:t>
            </w:r>
          </w:p>
        </w:tc>
        <w:tc>
          <w:tcPr>
            <w:tcW w:w="1650" w:type="dxa"/>
            <w:vMerge w:val="restart"/>
            <w:vAlign w:val="center"/>
          </w:tcPr>
          <w:p w:rsidR="00BB7001" w:rsidRDefault="00BB7001" w:rsidP="00D41640">
            <w:pPr>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产出指标</w:t>
            </w:r>
          </w:p>
        </w:tc>
        <w:tc>
          <w:tcPr>
            <w:tcW w:w="3693" w:type="dxa"/>
            <w:gridSpan w:val="2"/>
            <w:vAlign w:val="center"/>
          </w:tcPr>
          <w:p w:rsidR="00BB7001" w:rsidRDefault="00BB7001" w:rsidP="00D41640">
            <w:pPr>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新增普惠托位数（个）</w:t>
            </w:r>
          </w:p>
        </w:tc>
        <w:tc>
          <w:tcPr>
            <w:tcW w:w="1737" w:type="dxa"/>
            <w:vAlign w:val="center"/>
          </w:tcPr>
          <w:p w:rsidR="00BB7001" w:rsidRDefault="00BB7001" w:rsidP="00D41640">
            <w:pPr>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271</w:t>
            </w:r>
          </w:p>
        </w:tc>
      </w:tr>
      <w:tr w:rsidR="00BB7001" w:rsidTr="00D41640">
        <w:trPr>
          <w:trHeight w:val="426"/>
        </w:trPr>
        <w:tc>
          <w:tcPr>
            <w:tcW w:w="545" w:type="dxa"/>
            <w:vMerge/>
            <w:vAlign w:val="center"/>
          </w:tcPr>
          <w:p w:rsidR="00BB7001" w:rsidRDefault="00BB7001" w:rsidP="00D41640">
            <w:pPr>
              <w:spacing w:line="0" w:lineRule="atLeast"/>
              <w:jc w:val="center"/>
              <w:rPr>
                <w:rFonts w:asciiTheme="minorEastAsia" w:eastAsiaTheme="minorEastAsia" w:hAnsiTheme="minorEastAsia" w:cstheme="minorEastAsia"/>
                <w:szCs w:val="21"/>
              </w:rPr>
            </w:pPr>
          </w:p>
        </w:tc>
        <w:tc>
          <w:tcPr>
            <w:tcW w:w="1495" w:type="dxa"/>
            <w:vMerge/>
            <w:vAlign w:val="center"/>
          </w:tcPr>
          <w:p w:rsidR="00BB7001" w:rsidRDefault="00BB7001" w:rsidP="00D41640">
            <w:pPr>
              <w:spacing w:line="0" w:lineRule="atLeast"/>
              <w:jc w:val="center"/>
              <w:rPr>
                <w:rFonts w:asciiTheme="minorEastAsia" w:eastAsiaTheme="minorEastAsia" w:hAnsiTheme="minorEastAsia" w:cstheme="minorEastAsia"/>
                <w:szCs w:val="21"/>
              </w:rPr>
            </w:pPr>
          </w:p>
        </w:tc>
        <w:tc>
          <w:tcPr>
            <w:tcW w:w="1650" w:type="dxa"/>
            <w:vMerge/>
            <w:vAlign w:val="center"/>
          </w:tcPr>
          <w:p w:rsidR="00BB7001" w:rsidRDefault="00BB7001" w:rsidP="00D41640">
            <w:pPr>
              <w:spacing w:line="0" w:lineRule="atLeast"/>
              <w:jc w:val="center"/>
              <w:rPr>
                <w:rFonts w:asciiTheme="minorEastAsia" w:eastAsiaTheme="minorEastAsia" w:hAnsiTheme="minorEastAsia" w:cstheme="minorEastAsia"/>
                <w:szCs w:val="21"/>
              </w:rPr>
            </w:pPr>
          </w:p>
        </w:tc>
        <w:tc>
          <w:tcPr>
            <w:tcW w:w="3693" w:type="dxa"/>
            <w:gridSpan w:val="2"/>
            <w:vAlign w:val="center"/>
          </w:tcPr>
          <w:p w:rsidR="00BB7001" w:rsidRDefault="00BB7001" w:rsidP="00D41640">
            <w:pPr>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工程项目验收通过率</w:t>
            </w:r>
          </w:p>
        </w:tc>
        <w:tc>
          <w:tcPr>
            <w:tcW w:w="1737" w:type="dxa"/>
            <w:vAlign w:val="center"/>
          </w:tcPr>
          <w:p w:rsidR="00BB7001" w:rsidRDefault="00BB7001" w:rsidP="00D41640">
            <w:pPr>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≥95%</w:t>
            </w:r>
          </w:p>
        </w:tc>
      </w:tr>
      <w:tr w:rsidR="00BB7001" w:rsidTr="00D41640">
        <w:trPr>
          <w:trHeight w:val="426"/>
        </w:trPr>
        <w:tc>
          <w:tcPr>
            <w:tcW w:w="545" w:type="dxa"/>
            <w:vMerge/>
            <w:vAlign w:val="center"/>
          </w:tcPr>
          <w:p w:rsidR="00BB7001" w:rsidRDefault="00BB7001" w:rsidP="00D41640">
            <w:pPr>
              <w:spacing w:line="0" w:lineRule="atLeast"/>
              <w:jc w:val="center"/>
              <w:rPr>
                <w:rFonts w:asciiTheme="minorEastAsia" w:eastAsiaTheme="minorEastAsia" w:hAnsiTheme="minorEastAsia" w:cstheme="minorEastAsia"/>
                <w:szCs w:val="21"/>
              </w:rPr>
            </w:pPr>
          </w:p>
        </w:tc>
        <w:tc>
          <w:tcPr>
            <w:tcW w:w="1495" w:type="dxa"/>
            <w:vMerge/>
            <w:vAlign w:val="center"/>
          </w:tcPr>
          <w:p w:rsidR="00BB7001" w:rsidRDefault="00BB7001" w:rsidP="00D41640">
            <w:pPr>
              <w:spacing w:line="0" w:lineRule="atLeast"/>
              <w:jc w:val="center"/>
              <w:rPr>
                <w:rFonts w:asciiTheme="minorEastAsia" w:eastAsiaTheme="minorEastAsia" w:hAnsiTheme="minorEastAsia" w:cstheme="minorEastAsia"/>
                <w:szCs w:val="21"/>
              </w:rPr>
            </w:pPr>
          </w:p>
        </w:tc>
        <w:tc>
          <w:tcPr>
            <w:tcW w:w="1650" w:type="dxa"/>
            <w:vMerge/>
            <w:vAlign w:val="center"/>
          </w:tcPr>
          <w:p w:rsidR="00BB7001" w:rsidRDefault="00BB7001" w:rsidP="00D41640">
            <w:pPr>
              <w:spacing w:line="0" w:lineRule="atLeast"/>
              <w:jc w:val="center"/>
              <w:rPr>
                <w:rFonts w:asciiTheme="minorEastAsia" w:eastAsiaTheme="minorEastAsia" w:hAnsiTheme="minorEastAsia" w:cstheme="minorEastAsia"/>
                <w:szCs w:val="21"/>
              </w:rPr>
            </w:pPr>
          </w:p>
        </w:tc>
        <w:tc>
          <w:tcPr>
            <w:tcW w:w="3693" w:type="dxa"/>
            <w:gridSpan w:val="2"/>
            <w:vAlign w:val="center"/>
          </w:tcPr>
          <w:p w:rsidR="00BB7001" w:rsidRDefault="00BB7001" w:rsidP="00D41640">
            <w:pPr>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新建设施达到当地抗震设防要求</w:t>
            </w:r>
          </w:p>
        </w:tc>
        <w:tc>
          <w:tcPr>
            <w:tcW w:w="1737" w:type="dxa"/>
            <w:vAlign w:val="center"/>
          </w:tcPr>
          <w:p w:rsidR="00BB7001" w:rsidRDefault="00BB7001" w:rsidP="00D41640">
            <w:pPr>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100%</w:t>
            </w:r>
          </w:p>
        </w:tc>
      </w:tr>
      <w:tr w:rsidR="00BB7001" w:rsidTr="00D41640">
        <w:trPr>
          <w:trHeight w:val="426"/>
        </w:trPr>
        <w:tc>
          <w:tcPr>
            <w:tcW w:w="545" w:type="dxa"/>
            <w:vMerge/>
            <w:vAlign w:val="center"/>
          </w:tcPr>
          <w:p w:rsidR="00BB7001" w:rsidRDefault="00BB7001" w:rsidP="00D41640">
            <w:pPr>
              <w:spacing w:line="0" w:lineRule="atLeast"/>
              <w:jc w:val="center"/>
              <w:rPr>
                <w:rFonts w:asciiTheme="minorEastAsia" w:eastAsiaTheme="minorEastAsia" w:hAnsiTheme="minorEastAsia" w:cstheme="minorEastAsia"/>
                <w:szCs w:val="21"/>
              </w:rPr>
            </w:pPr>
          </w:p>
        </w:tc>
        <w:tc>
          <w:tcPr>
            <w:tcW w:w="1495" w:type="dxa"/>
            <w:vMerge/>
            <w:vAlign w:val="center"/>
          </w:tcPr>
          <w:p w:rsidR="00BB7001" w:rsidRDefault="00BB7001" w:rsidP="00D41640">
            <w:pPr>
              <w:spacing w:line="0" w:lineRule="atLeast"/>
              <w:jc w:val="center"/>
              <w:rPr>
                <w:rFonts w:asciiTheme="minorEastAsia" w:eastAsiaTheme="minorEastAsia" w:hAnsiTheme="minorEastAsia" w:cstheme="minorEastAsia"/>
                <w:szCs w:val="21"/>
              </w:rPr>
            </w:pPr>
          </w:p>
        </w:tc>
        <w:tc>
          <w:tcPr>
            <w:tcW w:w="1650" w:type="dxa"/>
            <w:vMerge w:val="restart"/>
            <w:vAlign w:val="center"/>
          </w:tcPr>
          <w:p w:rsidR="00BB7001" w:rsidRDefault="00BB7001" w:rsidP="00D41640">
            <w:pPr>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效益指标</w:t>
            </w:r>
          </w:p>
        </w:tc>
        <w:tc>
          <w:tcPr>
            <w:tcW w:w="3693" w:type="dxa"/>
            <w:gridSpan w:val="2"/>
            <w:vAlign w:val="center"/>
          </w:tcPr>
          <w:p w:rsidR="00BB7001" w:rsidRDefault="00BB7001" w:rsidP="00D41640">
            <w:pPr>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社会服务基础设施条件</w:t>
            </w:r>
          </w:p>
        </w:tc>
        <w:tc>
          <w:tcPr>
            <w:tcW w:w="1737" w:type="dxa"/>
            <w:vAlign w:val="center"/>
          </w:tcPr>
          <w:p w:rsidR="00BB7001" w:rsidRDefault="00BB7001" w:rsidP="00D41640">
            <w:pPr>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不断改善</w:t>
            </w:r>
          </w:p>
        </w:tc>
      </w:tr>
      <w:tr w:rsidR="00BB7001" w:rsidTr="00D41640">
        <w:trPr>
          <w:trHeight w:val="426"/>
        </w:trPr>
        <w:tc>
          <w:tcPr>
            <w:tcW w:w="545" w:type="dxa"/>
            <w:vMerge/>
            <w:vAlign w:val="center"/>
          </w:tcPr>
          <w:p w:rsidR="00BB7001" w:rsidRDefault="00BB7001" w:rsidP="00D41640">
            <w:pPr>
              <w:spacing w:line="0" w:lineRule="atLeast"/>
              <w:jc w:val="center"/>
              <w:rPr>
                <w:rFonts w:asciiTheme="minorEastAsia" w:eastAsiaTheme="minorEastAsia" w:hAnsiTheme="minorEastAsia" w:cstheme="minorEastAsia"/>
                <w:szCs w:val="21"/>
              </w:rPr>
            </w:pPr>
          </w:p>
        </w:tc>
        <w:tc>
          <w:tcPr>
            <w:tcW w:w="1495" w:type="dxa"/>
            <w:vMerge/>
            <w:vAlign w:val="center"/>
          </w:tcPr>
          <w:p w:rsidR="00BB7001" w:rsidRDefault="00BB7001" w:rsidP="00D41640">
            <w:pPr>
              <w:spacing w:line="0" w:lineRule="atLeast"/>
              <w:jc w:val="center"/>
              <w:rPr>
                <w:rFonts w:asciiTheme="minorEastAsia" w:eastAsiaTheme="minorEastAsia" w:hAnsiTheme="minorEastAsia" w:cstheme="minorEastAsia"/>
                <w:szCs w:val="21"/>
              </w:rPr>
            </w:pPr>
          </w:p>
        </w:tc>
        <w:tc>
          <w:tcPr>
            <w:tcW w:w="1650" w:type="dxa"/>
            <w:vMerge/>
            <w:vAlign w:val="center"/>
          </w:tcPr>
          <w:p w:rsidR="00BB7001" w:rsidRDefault="00BB7001" w:rsidP="00D41640">
            <w:pPr>
              <w:spacing w:line="0" w:lineRule="atLeast"/>
              <w:jc w:val="center"/>
              <w:rPr>
                <w:rFonts w:asciiTheme="minorEastAsia" w:eastAsiaTheme="minorEastAsia" w:hAnsiTheme="minorEastAsia" w:cstheme="minorEastAsia"/>
                <w:szCs w:val="21"/>
              </w:rPr>
            </w:pPr>
          </w:p>
        </w:tc>
        <w:tc>
          <w:tcPr>
            <w:tcW w:w="3693" w:type="dxa"/>
            <w:gridSpan w:val="2"/>
            <w:vAlign w:val="center"/>
          </w:tcPr>
          <w:p w:rsidR="00BB7001" w:rsidRDefault="00BB7001" w:rsidP="00D41640">
            <w:pPr>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服务社会经济发展能力</w:t>
            </w:r>
          </w:p>
        </w:tc>
        <w:tc>
          <w:tcPr>
            <w:tcW w:w="1737" w:type="dxa"/>
            <w:vAlign w:val="center"/>
          </w:tcPr>
          <w:p w:rsidR="00BB7001" w:rsidRDefault="00BB7001" w:rsidP="00D41640">
            <w:pPr>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提高</w:t>
            </w:r>
          </w:p>
        </w:tc>
      </w:tr>
      <w:tr w:rsidR="00BB7001" w:rsidTr="00D41640">
        <w:trPr>
          <w:trHeight w:val="426"/>
        </w:trPr>
        <w:tc>
          <w:tcPr>
            <w:tcW w:w="545" w:type="dxa"/>
            <w:vMerge/>
            <w:vAlign w:val="center"/>
          </w:tcPr>
          <w:p w:rsidR="00BB7001" w:rsidRDefault="00BB7001" w:rsidP="00D41640">
            <w:pPr>
              <w:spacing w:line="0" w:lineRule="atLeast"/>
              <w:jc w:val="center"/>
              <w:rPr>
                <w:rFonts w:asciiTheme="minorEastAsia" w:eastAsiaTheme="minorEastAsia" w:hAnsiTheme="minorEastAsia" w:cstheme="minorEastAsia"/>
                <w:szCs w:val="21"/>
              </w:rPr>
            </w:pPr>
          </w:p>
        </w:tc>
        <w:tc>
          <w:tcPr>
            <w:tcW w:w="1495" w:type="dxa"/>
            <w:vMerge/>
            <w:vAlign w:val="center"/>
          </w:tcPr>
          <w:p w:rsidR="00BB7001" w:rsidRDefault="00BB7001" w:rsidP="00D41640">
            <w:pPr>
              <w:spacing w:line="0" w:lineRule="atLeast"/>
              <w:jc w:val="center"/>
              <w:rPr>
                <w:rFonts w:asciiTheme="minorEastAsia" w:eastAsiaTheme="minorEastAsia" w:hAnsiTheme="minorEastAsia" w:cstheme="minorEastAsia"/>
                <w:szCs w:val="21"/>
              </w:rPr>
            </w:pPr>
          </w:p>
        </w:tc>
        <w:tc>
          <w:tcPr>
            <w:tcW w:w="1650" w:type="dxa"/>
            <w:vMerge/>
            <w:vAlign w:val="center"/>
          </w:tcPr>
          <w:p w:rsidR="00BB7001" w:rsidRDefault="00BB7001" w:rsidP="00D41640">
            <w:pPr>
              <w:spacing w:line="0" w:lineRule="atLeast"/>
              <w:jc w:val="center"/>
              <w:rPr>
                <w:rFonts w:asciiTheme="minorEastAsia" w:eastAsiaTheme="minorEastAsia" w:hAnsiTheme="minorEastAsia" w:cstheme="minorEastAsia"/>
                <w:szCs w:val="21"/>
              </w:rPr>
            </w:pPr>
          </w:p>
        </w:tc>
        <w:tc>
          <w:tcPr>
            <w:tcW w:w="3693" w:type="dxa"/>
            <w:gridSpan w:val="2"/>
            <w:vAlign w:val="center"/>
          </w:tcPr>
          <w:p w:rsidR="00BB7001" w:rsidRDefault="00BB7001" w:rsidP="00D41640">
            <w:pPr>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环境污染</w:t>
            </w:r>
          </w:p>
        </w:tc>
        <w:tc>
          <w:tcPr>
            <w:tcW w:w="1737" w:type="dxa"/>
            <w:vAlign w:val="center"/>
          </w:tcPr>
          <w:p w:rsidR="00BB7001" w:rsidRDefault="00BB7001" w:rsidP="00D41640">
            <w:pPr>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不产生</w:t>
            </w:r>
          </w:p>
        </w:tc>
      </w:tr>
      <w:tr w:rsidR="00BB7001" w:rsidTr="00D41640">
        <w:trPr>
          <w:trHeight w:val="426"/>
        </w:trPr>
        <w:tc>
          <w:tcPr>
            <w:tcW w:w="545" w:type="dxa"/>
            <w:vMerge/>
            <w:vAlign w:val="center"/>
          </w:tcPr>
          <w:p w:rsidR="00BB7001" w:rsidRDefault="00BB7001" w:rsidP="00D41640">
            <w:pPr>
              <w:spacing w:line="0" w:lineRule="atLeast"/>
              <w:jc w:val="center"/>
              <w:rPr>
                <w:rFonts w:asciiTheme="minorEastAsia" w:eastAsiaTheme="minorEastAsia" w:hAnsiTheme="minorEastAsia" w:cstheme="minorEastAsia"/>
                <w:szCs w:val="21"/>
              </w:rPr>
            </w:pPr>
          </w:p>
        </w:tc>
        <w:tc>
          <w:tcPr>
            <w:tcW w:w="1495" w:type="dxa"/>
            <w:vMerge w:val="restart"/>
            <w:vAlign w:val="center"/>
          </w:tcPr>
          <w:p w:rsidR="00BB7001" w:rsidRDefault="00BB7001" w:rsidP="00D41640">
            <w:pPr>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过程管理指标</w:t>
            </w:r>
          </w:p>
        </w:tc>
        <w:tc>
          <w:tcPr>
            <w:tcW w:w="1650" w:type="dxa"/>
            <w:vMerge w:val="restart"/>
            <w:vAlign w:val="center"/>
          </w:tcPr>
          <w:p w:rsidR="00BB7001" w:rsidRDefault="00BB7001" w:rsidP="00D41640">
            <w:pPr>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计划管理指标</w:t>
            </w:r>
          </w:p>
        </w:tc>
        <w:tc>
          <w:tcPr>
            <w:tcW w:w="3693" w:type="dxa"/>
            <w:gridSpan w:val="2"/>
            <w:vAlign w:val="center"/>
          </w:tcPr>
          <w:p w:rsidR="00BB7001" w:rsidRDefault="00BB7001" w:rsidP="00D41640">
            <w:pPr>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投资计划分解（转发）用时</w:t>
            </w:r>
          </w:p>
        </w:tc>
        <w:tc>
          <w:tcPr>
            <w:tcW w:w="1737" w:type="dxa"/>
            <w:vAlign w:val="center"/>
          </w:tcPr>
          <w:p w:rsidR="00BB7001" w:rsidRDefault="00BB7001" w:rsidP="00D41640">
            <w:pPr>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≤10个工作日</w:t>
            </w:r>
          </w:p>
        </w:tc>
      </w:tr>
      <w:tr w:rsidR="00BB7001" w:rsidTr="00D41640">
        <w:trPr>
          <w:trHeight w:val="426"/>
        </w:trPr>
        <w:tc>
          <w:tcPr>
            <w:tcW w:w="545" w:type="dxa"/>
            <w:vMerge/>
            <w:vAlign w:val="center"/>
          </w:tcPr>
          <w:p w:rsidR="00BB7001" w:rsidRDefault="00BB7001" w:rsidP="00D41640">
            <w:pPr>
              <w:spacing w:line="0" w:lineRule="atLeast"/>
              <w:jc w:val="center"/>
              <w:rPr>
                <w:rFonts w:asciiTheme="minorEastAsia" w:eastAsiaTheme="minorEastAsia" w:hAnsiTheme="minorEastAsia" w:cstheme="minorEastAsia"/>
                <w:szCs w:val="21"/>
              </w:rPr>
            </w:pPr>
          </w:p>
        </w:tc>
        <w:tc>
          <w:tcPr>
            <w:tcW w:w="1495" w:type="dxa"/>
            <w:vMerge/>
            <w:vAlign w:val="center"/>
          </w:tcPr>
          <w:p w:rsidR="00BB7001" w:rsidRDefault="00BB7001" w:rsidP="00D41640">
            <w:pPr>
              <w:spacing w:line="0" w:lineRule="atLeast"/>
              <w:jc w:val="center"/>
              <w:rPr>
                <w:rFonts w:asciiTheme="minorEastAsia" w:eastAsiaTheme="minorEastAsia" w:hAnsiTheme="minorEastAsia" w:cstheme="minorEastAsia"/>
                <w:szCs w:val="21"/>
              </w:rPr>
            </w:pPr>
          </w:p>
        </w:tc>
        <w:tc>
          <w:tcPr>
            <w:tcW w:w="1650" w:type="dxa"/>
            <w:vMerge/>
            <w:vAlign w:val="center"/>
          </w:tcPr>
          <w:p w:rsidR="00BB7001" w:rsidRDefault="00BB7001" w:rsidP="00D41640">
            <w:pPr>
              <w:spacing w:line="0" w:lineRule="atLeast"/>
              <w:jc w:val="center"/>
              <w:rPr>
                <w:rFonts w:asciiTheme="minorEastAsia" w:eastAsiaTheme="minorEastAsia" w:hAnsiTheme="minorEastAsia" w:cstheme="minorEastAsia"/>
                <w:szCs w:val="21"/>
              </w:rPr>
            </w:pPr>
          </w:p>
        </w:tc>
        <w:tc>
          <w:tcPr>
            <w:tcW w:w="3693" w:type="dxa"/>
            <w:gridSpan w:val="2"/>
            <w:vAlign w:val="center"/>
          </w:tcPr>
          <w:p w:rsidR="00BB7001" w:rsidRDefault="00BB7001" w:rsidP="00D41640">
            <w:pPr>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“两个责任”按项目落实到位率</w:t>
            </w:r>
          </w:p>
        </w:tc>
        <w:tc>
          <w:tcPr>
            <w:tcW w:w="1737" w:type="dxa"/>
            <w:vAlign w:val="center"/>
          </w:tcPr>
          <w:p w:rsidR="00BB7001" w:rsidRDefault="00BB7001" w:rsidP="00D41640">
            <w:pPr>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100%</w:t>
            </w:r>
          </w:p>
        </w:tc>
      </w:tr>
      <w:tr w:rsidR="00BB7001" w:rsidTr="00D41640">
        <w:trPr>
          <w:trHeight w:val="426"/>
        </w:trPr>
        <w:tc>
          <w:tcPr>
            <w:tcW w:w="545" w:type="dxa"/>
            <w:vMerge/>
            <w:vAlign w:val="center"/>
          </w:tcPr>
          <w:p w:rsidR="00BB7001" w:rsidRDefault="00BB7001" w:rsidP="00D41640">
            <w:pPr>
              <w:spacing w:line="0" w:lineRule="atLeast"/>
              <w:jc w:val="center"/>
              <w:rPr>
                <w:rFonts w:asciiTheme="minorEastAsia" w:eastAsiaTheme="minorEastAsia" w:hAnsiTheme="minorEastAsia" w:cstheme="minorEastAsia"/>
                <w:szCs w:val="21"/>
              </w:rPr>
            </w:pPr>
          </w:p>
        </w:tc>
        <w:tc>
          <w:tcPr>
            <w:tcW w:w="1495" w:type="dxa"/>
            <w:vMerge/>
            <w:vAlign w:val="center"/>
          </w:tcPr>
          <w:p w:rsidR="00BB7001" w:rsidRDefault="00BB7001" w:rsidP="00D41640">
            <w:pPr>
              <w:spacing w:line="0" w:lineRule="atLeast"/>
              <w:jc w:val="center"/>
              <w:rPr>
                <w:rFonts w:asciiTheme="minorEastAsia" w:eastAsiaTheme="minorEastAsia" w:hAnsiTheme="minorEastAsia" w:cstheme="minorEastAsia"/>
                <w:szCs w:val="21"/>
              </w:rPr>
            </w:pPr>
          </w:p>
        </w:tc>
        <w:tc>
          <w:tcPr>
            <w:tcW w:w="1650" w:type="dxa"/>
            <w:vMerge w:val="restart"/>
            <w:vAlign w:val="center"/>
          </w:tcPr>
          <w:p w:rsidR="00BB7001" w:rsidRDefault="00BB7001" w:rsidP="00D41640">
            <w:pPr>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资金管理指标</w:t>
            </w:r>
          </w:p>
        </w:tc>
        <w:tc>
          <w:tcPr>
            <w:tcW w:w="3693" w:type="dxa"/>
            <w:gridSpan w:val="2"/>
            <w:vAlign w:val="center"/>
          </w:tcPr>
          <w:p w:rsidR="00BB7001" w:rsidRDefault="00BB7001" w:rsidP="00D41640">
            <w:pPr>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中央预算内投资支付率</w:t>
            </w:r>
          </w:p>
        </w:tc>
        <w:tc>
          <w:tcPr>
            <w:tcW w:w="1737" w:type="dxa"/>
            <w:vAlign w:val="center"/>
          </w:tcPr>
          <w:p w:rsidR="00BB7001" w:rsidRDefault="00BB7001" w:rsidP="00D41640">
            <w:pPr>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≥60%</w:t>
            </w:r>
          </w:p>
        </w:tc>
      </w:tr>
      <w:tr w:rsidR="00BB7001" w:rsidTr="00D41640">
        <w:trPr>
          <w:trHeight w:val="426"/>
        </w:trPr>
        <w:tc>
          <w:tcPr>
            <w:tcW w:w="545" w:type="dxa"/>
            <w:vMerge/>
            <w:vAlign w:val="center"/>
          </w:tcPr>
          <w:p w:rsidR="00BB7001" w:rsidRDefault="00BB7001" w:rsidP="00D41640">
            <w:pPr>
              <w:spacing w:line="0" w:lineRule="atLeast"/>
              <w:jc w:val="center"/>
              <w:rPr>
                <w:rFonts w:asciiTheme="minorEastAsia" w:eastAsiaTheme="minorEastAsia" w:hAnsiTheme="minorEastAsia" w:cstheme="minorEastAsia"/>
                <w:szCs w:val="21"/>
              </w:rPr>
            </w:pPr>
          </w:p>
        </w:tc>
        <w:tc>
          <w:tcPr>
            <w:tcW w:w="1495" w:type="dxa"/>
            <w:vMerge/>
            <w:vAlign w:val="center"/>
          </w:tcPr>
          <w:p w:rsidR="00BB7001" w:rsidRDefault="00BB7001" w:rsidP="00D41640">
            <w:pPr>
              <w:spacing w:line="0" w:lineRule="atLeast"/>
              <w:jc w:val="center"/>
              <w:rPr>
                <w:rFonts w:asciiTheme="minorEastAsia" w:eastAsiaTheme="minorEastAsia" w:hAnsiTheme="minorEastAsia" w:cstheme="minorEastAsia"/>
                <w:szCs w:val="21"/>
              </w:rPr>
            </w:pPr>
          </w:p>
        </w:tc>
        <w:tc>
          <w:tcPr>
            <w:tcW w:w="1650" w:type="dxa"/>
            <w:vMerge/>
            <w:vAlign w:val="center"/>
          </w:tcPr>
          <w:p w:rsidR="00BB7001" w:rsidRDefault="00BB7001" w:rsidP="00D41640">
            <w:pPr>
              <w:spacing w:line="0" w:lineRule="atLeast"/>
              <w:jc w:val="center"/>
              <w:rPr>
                <w:rFonts w:asciiTheme="minorEastAsia" w:eastAsiaTheme="minorEastAsia" w:hAnsiTheme="minorEastAsia" w:cstheme="minorEastAsia"/>
                <w:szCs w:val="21"/>
              </w:rPr>
            </w:pPr>
          </w:p>
        </w:tc>
        <w:tc>
          <w:tcPr>
            <w:tcW w:w="3693" w:type="dxa"/>
            <w:gridSpan w:val="2"/>
            <w:vAlign w:val="center"/>
          </w:tcPr>
          <w:p w:rsidR="00BB7001" w:rsidRDefault="00BB7001" w:rsidP="00D41640">
            <w:pPr>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总投资完成率</w:t>
            </w:r>
          </w:p>
        </w:tc>
        <w:tc>
          <w:tcPr>
            <w:tcW w:w="1737" w:type="dxa"/>
            <w:vAlign w:val="center"/>
          </w:tcPr>
          <w:p w:rsidR="00BB7001" w:rsidRDefault="00BB7001" w:rsidP="00D41640">
            <w:pPr>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≥50%</w:t>
            </w:r>
          </w:p>
        </w:tc>
      </w:tr>
      <w:tr w:rsidR="00BB7001" w:rsidTr="00D41640">
        <w:trPr>
          <w:trHeight w:val="426"/>
        </w:trPr>
        <w:tc>
          <w:tcPr>
            <w:tcW w:w="545" w:type="dxa"/>
            <w:vMerge/>
            <w:vAlign w:val="center"/>
          </w:tcPr>
          <w:p w:rsidR="00BB7001" w:rsidRDefault="00BB7001" w:rsidP="00D41640">
            <w:pPr>
              <w:spacing w:line="0" w:lineRule="atLeast"/>
              <w:jc w:val="center"/>
              <w:rPr>
                <w:rFonts w:asciiTheme="minorEastAsia" w:eastAsiaTheme="minorEastAsia" w:hAnsiTheme="minorEastAsia" w:cstheme="minorEastAsia"/>
                <w:szCs w:val="21"/>
              </w:rPr>
            </w:pPr>
          </w:p>
        </w:tc>
        <w:tc>
          <w:tcPr>
            <w:tcW w:w="1495" w:type="dxa"/>
            <w:vMerge/>
            <w:vAlign w:val="center"/>
          </w:tcPr>
          <w:p w:rsidR="00BB7001" w:rsidRDefault="00BB7001" w:rsidP="00D41640">
            <w:pPr>
              <w:spacing w:line="0" w:lineRule="atLeast"/>
              <w:jc w:val="center"/>
              <w:rPr>
                <w:rFonts w:asciiTheme="minorEastAsia" w:eastAsiaTheme="minorEastAsia" w:hAnsiTheme="minorEastAsia" w:cstheme="minorEastAsia"/>
                <w:szCs w:val="21"/>
              </w:rPr>
            </w:pPr>
          </w:p>
        </w:tc>
        <w:tc>
          <w:tcPr>
            <w:tcW w:w="1650" w:type="dxa"/>
            <w:vMerge w:val="restart"/>
            <w:vAlign w:val="center"/>
          </w:tcPr>
          <w:p w:rsidR="00BB7001" w:rsidRDefault="00BB7001" w:rsidP="00D41640">
            <w:pPr>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项目管理指标</w:t>
            </w:r>
          </w:p>
        </w:tc>
        <w:tc>
          <w:tcPr>
            <w:tcW w:w="3693" w:type="dxa"/>
            <w:gridSpan w:val="2"/>
            <w:vAlign w:val="center"/>
          </w:tcPr>
          <w:p w:rsidR="00BB7001" w:rsidRDefault="00BB7001" w:rsidP="00D41640">
            <w:pPr>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项目开工率</w:t>
            </w:r>
          </w:p>
        </w:tc>
        <w:tc>
          <w:tcPr>
            <w:tcW w:w="1737" w:type="dxa"/>
            <w:vAlign w:val="center"/>
          </w:tcPr>
          <w:p w:rsidR="00BB7001" w:rsidRDefault="00BB7001" w:rsidP="00D41640">
            <w:pPr>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100%</w:t>
            </w:r>
          </w:p>
        </w:tc>
      </w:tr>
      <w:tr w:rsidR="00BB7001" w:rsidTr="00D41640">
        <w:trPr>
          <w:trHeight w:val="426"/>
        </w:trPr>
        <w:tc>
          <w:tcPr>
            <w:tcW w:w="545" w:type="dxa"/>
            <w:vMerge/>
            <w:vAlign w:val="center"/>
          </w:tcPr>
          <w:p w:rsidR="00BB7001" w:rsidRDefault="00BB7001" w:rsidP="00D41640">
            <w:pPr>
              <w:spacing w:line="0" w:lineRule="atLeast"/>
              <w:jc w:val="center"/>
              <w:rPr>
                <w:rFonts w:asciiTheme="minorEastAsia" w:eastAsiaTheme="minorEastAsia" w:hAnsiTheme="minorEastAsia" w:cstheme="minorEastAsia"/>
                <w:szCs w:val="21"/>
              </w:rPr>
            </w:pPr>
          </w:p>
        </w:tc>
        <w:tc>
          <w:tcPr>
            <w:tcW w:w="1495" w:type="dxa"/>
            <w:vMerge/>
            <w:vAlign w:val="center"/>
          </w:tcPr>
          <w:p w:rsidR="00BB7001" w:rsidRDefault="00BB7001" w:rsidP="00D41640">
            <w:pPr>
              <w:spacing w:line="0" w:lineRule="atLeast"/>
              <w:jc w:val="center"/>
              <w:rPr>
                <w:rFonts w:asciiTheme="minorEastAsia" w:eastAsiaTheme="minorEastAsia" w:hAnsiTheme="minorEastAsia" w:cstheme="minorEastAsia"/>
                <w:szCs w:val="21"/>
              </w:rPr>
            </w:pPr>
          </w:p>
        </w:tc>
        <w:tc>
          <w:tcPr>
            <w:tcW w:w="1650" w:type="dxa"/>
            <w:vMerge/>
          </w:tcPr>
          <w:p w:rsidR="00BB7001" w:rsidRDefault="00BB7001" w:rsidP="00D41640">
            <w:pPr>
              <w:spacing w:line="0" w:lineRule="atLeast"/>
              <w:jc w:val="center"/>
              <w:rPr>
                <w:rFonts w:asciiTheme="minorEastAsia" w:eastAsiaTheme="minorEastAsia" w:hAnsiTheme="minorEastAsia" w:cstheme="minorEastAsia"/>
                <w:szCs w:val="21"/>
              </w:rPr>
            </w:pPr>
          </w:p>
        </w:tc>
        <w:tc>
          <w:tcPr>
            <w:tcW w:w="3693" w:type="dxa"/>
            <w:gridSpan w:val="2"/>
            <w:vAlign w:val="center"/>
          </w:tcPr>
          <w:p w:rsidR="00BB7001" w:rsidRDefault="00BB7001" w:rsidP="00D41640">
            <w:pPr>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超规模、超标准、超概算项目比例</w:t>
            </w:r>
          </w:p>
        </w:tc>
        <w:tc>
          <w:tcPr>
            <w:tcW w:w="1737" w:type="dxa"/>
            <w:vAlign w:val="center"/>
          </w:tcPr>
          <w:p w:rsidR="00BB7001" w:rsidRDefault="00BB7001" w:rsidP="00D41640">
            <w:pPr>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p>
        </w:tc>
      </w:tr>
      <w:tr w:rsidR="00BB7001" w:rsidTr="00D41640">
        <w:trPr>
          <w:trHeight w:val="426"/>
        </w:trPr>
        <w:tc>
          <w:tcPr>
            <w:tcW w:w="545" w:type="dxa"/>
            <w:vMerge/>
            <w:vAlign w:val="center"/>
          </w:tcPr>
          <w:p w:rsidR="00BB7001" w:rsidRDefault="00BB7001" w:rsidP="00D41640">
            <w:pPr>
              <w:spacing w:line="0" w:lineRule="atLeast"/>
              <w:jc w:val="center"/>
              <w:rPr>
                <w:rFonts w:asciiTheme="minorEastAsia" w:eastAsiaTheme="minorEastAsia" w:hAnsiTheme="minorEastAsia" w:cstheme="minorEastAsia"/>
                <w:szCs w:val="21"/>
              </w:rPr>
            </w:pPr>
          </w:p>
        </w:tc>
        <w:tc>
          <w:tcPr>
            <w:tcW w:w="1495" w:type="dxa"/>
            <w:vMerge/>
            <w:vAlign w:val="center"/>
          </w:tcPr>
          <w:p w:rsidR="00BB7001" w:rsidRDefault="00BB7001" w:rsidP="00D41640">
            <w:pPr>
              <w:spacing w:line="0" w:lineRule="atLeast"/>
              <w:jc w:val="center"/>
              <w:rPr>
                <w:rFonts w:asciiTheme="minorEastAsia" w:eastAsiaTheme="minorEastAsia" w:hAnsiTheme="minorEastAsia" w:cstheme="minorEastAsia"/>
                <w:szCs w:val="21"/>
              </w:rPr>
            </w:pPr>
          </w:p>
        </w:tc>
        <w:tc>
          <w:tcPr>
            <w:tcW w:w="1650" w:type="dxa"/>
            <w:vAlign w:val="center"/>
          </w:tcPr>
          <w:p w:rsidR="00BB7001" w:rsidRDefault="00BB7001" w:rsidP="00D41640">
            <w:pPr>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监督检查指标</w:t>
            </w:r>
          </w:p>
        </w:tc>
        <w:tc>
          <w:tcPr>
            <w:tcW w:w="3693" w:type="dxa"/>
            <w:gridSpan w:val="2"/>
            <w:vAlign w:val="center"/>
          </w:tcPr>
          <w:p w:rsidR="00BB7001" w:rsidRDefault="00BB7001" w:rsidP="00D41640">
            <w:pPr>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审计、督查、巡视等指出问题项目比例</w:t>
            </w:r>
          </w:p>
        </w:tc>
        <w:tc>
          <w:tcPr>
            <w:tcW w:w="1737" w:type="dxa"/>
            <w:vAlign w:val="center"/>
          </w:tcPr>
          <w:p w:rsidR="00BB7001" w:rsidRDefault="00BB7001" w:rsidP="00D41640">
            <w:pPr>
              <w:spacing w:line="0" w:lineRule="atLeas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w:t>
            </w:r>
          </w:p>
        </w:tc>
      </w:tr>
    </w:tbl>
    <w:p w:rsidR="004E22EA" w:rsidRDefault="004E22EA"/>
    <w:sectPr w:rsidR="004E22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001" w:rsidRDefault="00BB7001" w:rsidP="00BB7001">
      <w:r>
        <w:separator/>
      </w:r>
    </w:p>
  </w:endnote>
  <w:endnote w:type="continuationSeparator" w:id="0">
    <w:p w:rsidR="00BB7001" w:rsidRDefault="00BB7001" w:rsidP="00BB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楷体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001" w:rsidRDefault="00BB7001" w:rsidP="00BB7001">
      <w:r>
        <w:separator/>
      </w:r>
    </w:p>
  </w:footnote>
  <w:footnote w:type="continuationSeparator" w:id="0">
    <w:p w:rsidR="00BB7001" w:rsidRDefault="00BB7001" w:rsidP="00BB70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024"/>
    <w:rsid w:val="004E22EA"/>
    <w:rsid w:val="00966024"/>
    <w:rsid w:val="00BB7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B700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700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B7001"/>
    <w:rPr>
      <w:sz w:val="18"/>
      <w:szCs w:val="18"/>
    </w:rPr>
  </w:style>
  <w:style w:type="paragraph" w:styleId="a4">
    <w:name w:val="footer"/>
    <w:basedOn w:val="a"/>
    <w:link w:val="Char0"/>
    <w:uiPriority w:val="99"/>
    <w:unhideWhenUsed/>
    <w:rsid w:val="00BB700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B700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B700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700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B7001"/>
    <w:rPr>
      <w:sz w:val="18"/>
      <w:szCs w:val="18"/>
    </w:rPr>
  </w:style>
  <w:style w:type="paragraph" w:styleId="a4">
    <w:name w:val="footer"/>
    <w:basedOn w:val="a"/>
    <w:link w:val="Char0"/>
    <w:uiPriority w:val="99"/>
    <w:unhideWhenUsed/>
    <w:rsid w:val="00BB700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B70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252</Words>
  <Characters>1443</Characters>
  <Application>Microsoft Office Word</Application>
  <DocSecurity>0</DocSecurity>
  <Lines>12</Lines>
  <Paragraphs>3</Paragraphs>
  <ScaleCrop>false</ScaleCrop>
  <Company>微软中国</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2020-09-30T07:29:00Z</dcterms:created>
  <dcterms:modified xsi:type="dcterms:W3CDTF">2020-09-30T07:29:00Z</dcterms:modified>
</cp:coreProperties>
</file>